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65521">
        <w:rPr>
          <w:rFonts w:cs="Arial"/>
          <w:sz w:val="14"/>
        </w:rPr>
      </w:r>
      <w:r w:rsidR="00D6552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5CB" w:rsidRDefault="00B115C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95D8D">
    <w:pPr>
      <w:pStyle w:val="Peu"/>
    </w:pPr>
    <w:r w:rsidRPr="000E7859">
      <w:rPr>
        <w:noProof/>
      </w:rPr>
      <w:drawing>
        <wp:anchor distT="0" distB="0" distL="114300" distR="114300" simplePos="0" relativeHeight="251659264" behindDoc="0" locked="0" layoutInCell="1" allowOverlap="1" wp14:anchorId="0B4D3399" wp14:editId="2BC12B95">
          <wp:simplePos x="0" y="0"/>
          <wp:positionH relativeFrom="page">
            <wp:posOffset>5453353</wp:posOffset>
          </wp:positionH>
          <wp:positionV relativeFrom="paragraph">
            <wp:posOffset>-190832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5CB" w:rsidRDefault="00B115C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5CB" w:rsidRDefault="00B115C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095D8D">
    <w:pPr>
      <w:pStyle w:val="Capalera"/>
    </w:pPr>
    <w:r>
      <w:rPr>
        <w:noProof/>
      </w:rPr>
      <w:drawing>
        <wp:inline distT="0" distB="0" distL="0" distR="0">
          <wp:extent cx="5400040" cy="661670"/>
          <wp:effectExtent l="0" t="0" r="0" b="508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5CB" w:rsidRDefault="00B115C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95D8D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115C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65521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B1AB11-70D3-4C1C-92E8-0CCCEDB0B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4588CA-7849-4EC7-86EE-42C1B7807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1534D0C-E5FB-414F-8805-F788405795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1089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Meritxell Terés Riu</cp:lastModifiedBy>
  <cp:revision>5</cp:revision>
  <cp:lastPrinted>2018-12-18T08:58:00Z</cp:lastPrinted>
  <dcterms:created xsi:type="dcterms:W3CDTF">2023-07-20T06:44:00Z</dcterms:created>
  <dcterms:modified xsi:type="dcterms:W3CDTF">2024-10-17T09:40:00Z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