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24SMB001</RECORD_ID>
  <DESCR>MATERIAL D'OFICINA I TÒNERS</DESCR>
  <TOTALAMOUNT>76.014,36</TOTALAMOUNT>
  <BATCHES>
    <BATCH>
      <BATCHID>OFI1</BATCHID>
      <DESCR>MATERIAL OFICINA 1</DESCR>
      <AMOUNT>33.559,39</AMOUNT>
      <MATERIALS>
        <MATERIAL>
          <MATNR>11181</MATNR>
          <MAKTX>S'ADJUNTA ANNEX I AL PLEC DE PRESCRIPCIONS TÈCNIQUES</MAKTX>
          <QUANTITY>1</QUANTITY>
          <TECHTEXT> </TECHTEXT>
        </MATERIAL>
      </MATERIALS>
    </BATCH>
    <BATCH>
      <BATCHID>OFI2</BATCHID>
      <DESCR>MATERIAL OFICINA 2</DESCR>
      <AMOUNT>28.524,05</AMOUNT>
      <MATERIALS>
        <MATERIAL>
          <MATNR>11182</MATNR>
          <MAKTX>S'ADJUNTA ANNEX I AL PLEC DE PRESCRIPCIONS TÈCNIQUES</MAKTX>
          <QUANTITY>1</QUANTITY>
          <TECHTEXT> </TECHTEXT>
        </MATERIAL>
      </MATERIALS>
    </BATCH>
    <BATCH>
      <BATCHID>OFI3</BATCHID>
      <DESCR>TÒNERS</DESCR>
      <AMOUNT>13.930,92</AMOUNT>
      <MATERIALS>
        <MATERIAL>
          <MATNR>11183</MATNR>
          <MAKTX>S'ADJUNTA ANNEX I AL PLEC DE PRESCRIPCIONS TÈCNIQUES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AFFEC4DF-EF30-1EEF-83B8-ED8CFFA5C3D1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