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0"/>
        </w:numPr>
        <w:ind w:left="432" w:hanging="0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ANNEX II. DECLARACIÓ RESPONSABLE ACREDITACIÓ SOLVÈNCIA TÈCNICA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de serveis de...................... 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keepNext w:val="true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true"/>
        <w:kinsoku w:val="true"/>
        <w:overflowPunct w:val="true"/>
        <w:autoSpaceDE w:val="true"/>
        <w:bidi w:val="0"/>
        <w:spacing w:lineRule="auto" w:line="276" w:before="0" w:after="0"/>
        <w:ind w:left="0" w:right="0" w:hanging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(Població i data)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  <w:shd w:fill="auto" w:val="clear"/>
          <w:lang w:val="ca-ES" w:eastAsia="zh-CN" w:bidi="hi-IN"/>
        </w:rPr>
        <w:t xml:space="preserve">: 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2</Pages>
  <Words>170</Words>
  <Characters>1154</Characters>
  <CharactersWithSpaces>1294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2024-10-01T11:51:44Z</dcterms:created>
  <dc:creator/>
  <dc:description/>
  <dc:language>es-ES</dc:language>
  <cp:lastModifiedBy/>
  <dcterms:modified xsi:type="dcterms:W3CDTF">2024-10-01T11:52:42Z</dcterms:modified>
  <cp:revision>2</cp:revision>
  <dc:subject/>
  <dc:title>Carta Contractació</dc:title>
</cp:coreProperties>
</file>