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ntenidodelatabla"/>
        <w:pBdr/>
        <w:bidi w:val="0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single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>B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)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</w:rPr>
        <w:t>Oferta econòmica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</w:rPr>
        <w:t xml:space="preserve"> 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  <w:tab/>
        <w:t>B1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  <w:t xml:space="preserve">)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>Oferta econòmica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per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>l’elaboració i implantació del PPCL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>de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 la P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>restació 1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  <w:u w:val="single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</w:r>
    </w:p>
    <w:p>
      <w:pPr>
        <w:pStyle w:val="Normal"/>
        <w:spacing w:lineRule="auto" w:line="276" w:before="57" w:after="0"/>
        <w:ind w:left="423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eastAsia="Helvetica-Bold" w:cs="Helvetica-Bold"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 xml:space="preserve">S’oferta un </w:t>
      </w:r>
      <w:r>
        <w:rPr>
          <w:rFonts w:eastAsia="Helvetica-Bold" w:cs="Helvetica-Bold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preu de ................. € més  .......... (... % d’IVA), que fan un total de ................. </w:t>
        <w:tab/>
        <w:t>€ per la prestació 1.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  <w:tab/>
        <w:t>B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  <w:t>2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  <w:t>)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>Oferta econòmica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per les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tasques de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control i revisions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>incloses en la P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>restació 2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  <w:t>.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spacing w:lineRule="auto" w:line="276" w:before="57" w:after="0"/>
        <w:ind w:left="423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eastAsia="Helvetica-Bold" w:cs="Helvetica-Bold"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 xml:space="preserve">S’oferta un </w:t>
      </w:r>
      <w:r>
        <w:rPr>
          <w:rFonts w:eastAsia="Helvetica-Bold" w:cs="Helvetica-Bold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preu de ................. € més  .......... (... % d’IVA), que fan un total de ................. </w:t>
        <w:tab/>
        <w:t>€ per la prestació 2.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  <w:tab/>
        <w:t>B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  <w:t>3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  <w:t xml:space="preserve">)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Oferta econòmica dels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preus unitaris de MA D'OBRA indicats en l'annex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5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del plec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ab/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de prescripcions tècniques per l'execució dels treballs inclosos en la P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3, P4 i P5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  <w:t>.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</w:r>
    </w:p>
    <w:p>
      <w:pPr>
        <w:pStyle w:val="Normal"/>
        <w:spacing w:lineRule="auto" w:line="276" w:before="57" w:after="0"/>
        <w:ind w:left="423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eastAsia="Helvetica-Bold" w:cs="Helvetica-Bold"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>S’oferta una baixa lineal del ...... %.</w:t>
      </w:r>
    </w:p>
    <w:p>
      <w:pPr>
        <w:pStyle w:val="Normal"/>
        <w:widowControl/>
        <w:bidi w:val="0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</w:rPr>
        <w:tab/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>B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>4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>)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Oferta econòmica dels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preus unitaris de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OPERACIONS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indicats en l'annex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5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del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ab/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plec de prescripcions tècniques per l'execució dels treballs inclosos en la P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3, P4 i P5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.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 xml:space="preserve"> 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</w:r>
    </w:p>
    <w:p>
      <w:pPr>
        <w:pStyle w:val="Normal"/>
        <w:spacing w:lineRule="auto" w:line="276" w:before="57" w:after="0"/>
        <w:ind w:left="423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eastAsia="Helvetica-Bold" w:cs="Helvetica-Bold"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>S’oferta una baixa lineal del ...... %.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ab/>
        <w:t>B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>5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 xml:space="preserve">)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Oferta econòmica dels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preus unitaris de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MATERIALS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indicats en l'annex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5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del plec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ab/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de prescripcions tècniques per l'execució dels treballs inclosos en la P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3, P4 i P5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single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</w:r>
    </w:p>
    <w:p>
      <w:pPr>
        <w:pStyle w:val="Normal"/>
        <w:spacing w:lineRule="auto" w:line="276" w:before="57" w:after="0"/>
        <w:ind w:left="423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eastAsia="Helvetica-Bold" w:cs="Helvetica-Bold"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>S’oferta una baixa lineal del ...... %.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  <w:tab/>
        <w:t>B6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  <w:t xml:space="preserve">)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Oferta econòmica dels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preus unitaris per els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ALTRES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MATERIALS no inclosos en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ab/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l'annex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5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 xml:space="preserve"> del plec de prescripcions tècniques i que puguin ser necessaris per l'execució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ab/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dels treballs inclosos en la P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eastAsia="es-ES"/>
        </w:rPr>
        <w:t>3, 4 i 5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  <w:t>.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  <w:t xml:space="preserve"> 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eastAsia="es-ES"/>
        </w:rPr>
      </w:r>
    </w:p>
    <w:p>
      <w:pPr>
        <w:pStyle w:val="Normal"/>
        <w:spacing w:lineRule="auto" w:line="276" w:before="57" w:after="0"/>
        <w:ind w:left="423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eastAsia="Helvetica-Bold" w:cs="Helvetica-Bold"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>S’oferta una baixa lineal del ...... %.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Helvetica-Bold" w:cs="Helvetica-Bold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eastAsia="es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lang w:eastAsia="es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ontenidodelatabla"/>
        <w:pBdr/>
        <w:bidi w:val="0"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C)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Formació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 w:eastAsia="es-ES"/>
        </w:rPr>
        <w:t xml:space="preserve"> al personal municipa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/>
        </w:rPr>
        <w:t>l</w:t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/>
        </w:rPr>
        <w:t xml:space="preserve">□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/>
        </w:rPr>
        <w:t>Sí</w:t>
      </w:r>
    </w:p>
    <w:p>
      <w:pPr>
        <w:pStyle w:val="Cuerpodetexto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/>
        </w:rPr>
        <w:t xml:space="preserve">□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es-ES"/>
        </w:rPr>
        <w:t>No</w:t>
      </w:r>
    </w:p>
    <w:p>
      <w:pPr>
        <w:pStyle w:val="Cuerpodetexto"/>
        <w:pBdr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</w:r>
      <w:bookmarkStart w:id="0" w:name="__RefHeading___Toc27218_1041666186"/>
      <w:bookmarkStart w:id="1" w:name="__RefHeading___Toc27218_1041666186"/>
      <w:bookmarkEnd w:id="1"/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»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2</Pages>
  <Words>385</Words>
  <Characters>2191</Characters>
  <CharactersWithSpaces>2585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2024-10-01T11:51:44Z</dcterms:created>
  <dc:creator/>
  <dc:description/>
  <dc:language>es-ES</dc:language>
  <cp:lastModifiedBy/>
  <dcterms:modified xsi:type="dcterms:W3CDTF">2024-10-01T11:53:09Z</dcterms:modified>
  <cp:revision>3</cp:revision>
  <dc:subject/>
  <dc:title>Carta Contractació</dc:title>
</cp:coreProperties>
</file>