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pStyle w:val="Prrafodelista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317014" w:rsidRDefault="00317014">
      <w:pPr>
        <w:widowControl/>
        <w:suppressAutoHyphens w:val="0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317014" w:rsidRDefault="00B94DCB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II.- 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</w:p>
    <w:p w:rsidR="00317014" w:rsidRDefault="003170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de d’obra per la </w:t>
      </w:r>
      <w:r w:rsidR="004F73B0">
        <w:rPr>
          <w:rFonts w:ascii="Arial" w:hAnsi="Arial" w:cs="Arial"/>
          <w:sz w:val="22"/>
          <w:szCs w:val="22"/>
        </w:rPr>
        <w:t xml:space="preserve">reparació estructural del pont al carrer estació sobre l’avinguda secretari canal de Sant Vicenç de Castellet, 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3170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4F73B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40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punts)</w:t>
      </w:r>
    </w:p>
    <w:p w:rsidR="00317014" w:rsidRDefault="00B94DC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317014" w:rsidRDefault="00B94DC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317014" w:rsidRDefault="0031701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3170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3170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F73B0" w:rsidRDefault="004F73B0" w:rsidP="004F73B0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(10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(2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(4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(6punts)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(8 punts)</w:t>
      </w:r>
    </w:p>
    <w:p w:rsidR="004F73B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(10 punts)</w:t>
      </w:r>
    </w:p>
    <w:p w:rsidR="00317014" w:rsidRDefault="00317014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317014" w:rsidRDefault="00317014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317014" w:rsidRDefault="00B94DCB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3-</w:t>
      </w:r>
      <w:r>
        <w:rPr>
          <w:b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4F73B0">
        <w:rPr>
          <w:rFonts w:ascii="Arial" w:hAnsi="Arial" w:cs="Arial"/>
          <w:b/>
          <w:iCs/>
          <w:sz w:val="22"/>
          <w:szCs w:val="22"/>
        </w:rPr>
        <w:t xml:space="preserve">dels paraments del pont, neteja de </w:t>
      </w:r>
      <w:proofErr w:type="spellStart"/>
      <w:r w:rsidR="004F73B0">
        <w:rPr>
          <w:rFonts w:ascii="Arial" w:hAnsi="Arial" w:cs="Arial"/>
          <w:b/>
          <w:iCs/>
          <w:sz w:val="22"/>
          <w:szCs w:val="22"/>
        </w:rPr>
        <w:t>graffitis</w:t>
      </w:r>
      <w:proofErr w:type="spellEnd"/>
      <w:r w:rsidR="004F73B0">
        <w:rPr>
          <w:rFonts w:ascii="Arial" w:hAnsi="Arial" w:cs="Arial"/>
          <w:b/>
          <w:iCs/>
          <w:sz w:val="22"/>
          <w:szCs w:val="22"/>
        </w:rPr>
        <w:t xml:space="preserve"> i pintat </w:t>
      </w:r>
      <w:r>
        <w:rPr>
          <w:rFonts w:ascii="Arial" w:hAnsi="Arial" w:cs="Arial"/>
          <w:b/>
          <w:iCs/>
          <w:sz w:val="22"/>
          <w:szCs w:val="22"/>
        </w:rPr>
        <w:t>(</w:t>
      </w:r>
      <w:r w:rsidR="004F73B0">
        <w:rPr>
          <w:rFonts w:ascii="Arial" w:hAnsi="Arial" w:cs="Arial"/>
          <w:b/>
          <w:iCs/>
          <w:sz w:val="22"/>
          <w:szCs w:val="22"/>
        </w:rPr>
        <w:t>20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317014" w:rsidRDefault="00B94DCB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</w:t>
      </w:r>
      <w:r w:rsidR="004F73B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B71CAD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71CAD" w:rsidRDefault="00B71CAD" w:rsidP="00B71CAD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4-</w:t>
      </w:r>
      <w:r>
        <w:rPr>
          <w:b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440E84">
        <w:rPr>
          <w:rFonts w:ascii="Arial" w:hAnsi="Arial" w:cs="Arial"/>
          <w:b/>
          <w:iCs/>
          <w:sz w:val="22"/>
          <w:szCs w:val="22"/>
        </w:rPr>
        <w:t>tècnica de substitució de la barana</w:t>
      </w:r>
      <w:r>
        <w:rPr>
          <w:rFonts w:ascii="Arial" w:hAnsi="Arial" w:cs="Arial"/>
          <w:b/>
          <w:iCs/>
          <w:sz w:val="22"/>
          <w:szCs w:val="22"/>
        </w:rPr>
        <w:t xml:space="preserve"> (</w:t>
      </w:r>
      <w:r w:rsidR="00440E84">
        <w:rPr>
          <w:rFonts w:ascii="Arial" w:hAnsi="Arial" w:cs="Arial"/>
          <w:b/>
          <w:iCs/>
          <w:sz w:val="22"/>
          <w:szCs w:val="22"/>
        </w:rPr>
        <w:t>3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B71CAD" w:rsidRDefault="00B71CAD" w:rsidP="00B71CAD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25E78">
        <w:rPr>
          <w:rFonts w:ascii="Arial" w:hAnsi="Arial" w:cs="Arial"/>
          <w:sz w:val="22"/>
          <w:szCs w:val="22"/>
        </w:rPr>
      </w:r>
      <w:r w:rsidR="00325E7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</w:t>
      </w:r>
      <w:r w:rsidR="00440E8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punts)</w:t>
      </w:r>
    </w:p>
    <w:p w:rsidR="00B71CAD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17014" w:rsidRDefault="00317014">
      <w:pPr>
        <w:autoSpaceDE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3E1F" w:rsidRDefault="004F73B0" w:rsidP="00283E1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94DCB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1" w:name="_Toc129009779"/>
    </w:p>
    <w:bookmarkEnd w:id="1"/>
    <w:sectPr w:rsidR="00283E1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CB" w:rsidRDefault="00B94DCB">
      <w:r>
        <w:separator/>
      </w:r>
    </w:p>
  </w:endnote>
  <w:endnote w:type="continuationSeparator" w:id="0">
    <w:p w:rsidR="00B94DCB" w:rsidRDefault="00B9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B94DCB" w:rsidRDefault="00B94DCB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325E78" w:rsidRPr="00325E78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B94DCB" w:rsidRDefault="00B94DCB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B94DCB" w:rsidRDefault="00B94D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CB" w:rsidRDefault="00B94DCB">
      <w:r>
        <w:separator/>
      </w:r>
    </w:p>
  </w:footnote>
  <w:footnote w:type="continuationSeparator" w:id="0">
    <w:p w:rsidR="00B94DCB" w:rsidRDefault="00B9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  <w:p w:rsidR="00B94DCB" w:rsidRDefault="00B94DCB">
    <w:pPr>
      <w:pStyle w:val="Encabezado"/>
    </w:pPr>
  </w:p>
  <w:p w:rsidR="00B94DCB" w:rsidRDefault="00B94DCB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144F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17014"/>
    <w:rsid w:val="00320DB6"/>
    <w:rsid w:val="00322A07"/>
    <w:rsid w:val="003232FB"/>
    <w:rsid w:val="0032581F"/>
    <w:rsid w:val="00325E78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4B9E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451"/>
    <w:rsid w:val="00AF3AF2"/>
    <w:rsid w:val="00AF3B4D"/>
    <w:rsid w:val="00AF63A4"/>
    <w:rsid w:val="00AF71A2"/>
    <w:rsid w:val="00B03C1A"/>
    <w:rsid w:val="00B12539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EE61B-174B-4A26-84A0-299281E0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39</TotalTime>
  <Pages>1</Pages>
  <Words>319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133</cp:revision>
  <cp:lastPrinted>2021-05-28T10:58:00Z</cp:lastPrinted>
  <dcterms:created xsi:type="dcterms:W3CDTF">2021-10-04T06:23:00Z</dcterms:created>
  <dcterms:modified xsi:type="dcterms:W3CDTF">2024-09-06T11:08:00Z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