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D4FAB9" w14:textId="07EECF6A" w:rsidR="007A4A7B" w:rsidRPr="00D52FC2" w:rsidRDefault="007A4A7B" w:rsidP="008669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75118870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88249F"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04A33EC3" w14:textId="77777777" w:rsidR="00C44965" w:rsidRPr="00D52FC2" w:rsidRDefault="00C44965" w:rsidP="0086693E">
      <w:pPr>
        <w:spacing w:after="0"/>
        <w:rPr>
          <w:rFonts w:eastAsia="Calibri" w:cs="Arial"/>
          <w:color w:val="000000"/>
          <w:szCs w:val="22"/>
        </w:rPr>
      </w:pPr>
    </w:p>
    <w:p w14:paraId="05AB711F" w14:textId="28DEFD60" w:rsidR="000A539D" w:rsidRPr="00D52FC2" w:rsidRDefault="007A4A7B" w:rsidP="0086693E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DefaultPlaceholder_1081868574"/>
          </w:placeholder>
        </w:sdtPr>
        <w:sdtEndPr/>
        <w:sdtContent>
          <w:r w:rsidR="003A3739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 w:rsidR="003A3739"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</w:t>
      </w:r>
      <w:r w:rsidR="00181802" w:rsidRPr="00D52FC2">
        <w:rPr>
          <w:rFonts w:eastAsia="Calibri" w:cs="Arial"/>
          <w:color w:val="000000"/>
          <w:szCs w:val="22"/>
        </w:rPr>
        <w:t>de la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="000306E9" w:rsidRPr="00D52FC2">
        <w:rPr>
          <w:rFonts w:cs="Arial"/>
          <w:bCs/>
          <w:szCs w:val="22"/>
        </w:rPr>
        <w:t xml:space="preserve">contractació </w:t>
      </w:r>
      <w:r w:rsidR="00B504FD">
        <w:rPr>
          <w:rFonts w:cs="Arial"/>
          <w:bCs/>
          <w:szCs w:val="22"/>
        </w:rPr>
        <w:t>del</w:t>
      </w:r>
      <w:r w:rsidR="002A6357">
        <w:rPr>
          <w:rFonts w:cs="Arial"/>
          <w:bCs/>
          <w:szCs w:val="22"/>
        </w:rPr>
        <w:t xml:space="preserve"> servei </w:t>
      </w:r>
      <w:r w:rsidR="002A6357" w:rsidRPr="002A6357">
        <w:rPr>
          <w:rFonts w:cs="Arial"/>
          <w:szCs w:val="22"/>
        </w:rPr>
        <w:t>d’un portal de gestió de formacions per SUMAR</w:t>
      </w:r>
      <w:r w:rsidR="004B32EE" w:rsidRPr="002A6357">
        <w:rPr>
          <w:rFonts w:cs="Arial"/>
          <w:szCs w:val="22"/>
        </w:rPr>
        <w:t>, Serveis Públics d’Acció Social de Catalunya MP, SL,</w:t>
      </w:r>
      <w:r w:rsidR="004B32EE" w:rsidRPr="00D52FC2">
        <w:rPr>
          <w:rFonts w:cs="Arial"/>
          <w:b/>
          <w:szCs w:val="22"/>
        </w:rPr>
        <w:t xml:space="preserve"> </w:t>
      </w:r>
      <w:r w:rsidR="000A539D" w:rsidRPr="00D52FC2">
        <w:rPr>
          <w:rFonts w:eastAsia="Calibri" w:cs="Arial"/>
          <w:color w:val="000000"/>
          <w:szCs w:val="22"/>
        </w:rPr>
        <w:t xml:space="preserve">i </w:t>
      </w:r>
      <w:r w:rsidR="000A539D"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D1F612B" w14:textId="77777777" w:rsidR="004B32EE" w:rsidRDefault="004B32EE" w:rsidP="0086693E">
      <w:pPr>
        <w:spacing w:after="0"/>
        <w:rPr>
          <w:rFonts w:cs="Arial"/>
          <w:b/>
        </w:rPr>
      </w:pPr>
    </w:p>
    <w:p w14:paraId="42B2177D" w14:textId="77777777" w:rsidR="00434129" w:rsidRPr="002A6357" w:rsidRDefault="00434129" w:rsidP="0086693E">
      <w:pPr>
        <w:spacing w:after="0"/>
        <w:ind w:left="567"/>
        <w:rPr>
          <w:rFonts w:cs="Arial"/>
          <w:b/>
        </w:rPr>
      </w:pPr>
    </w:p>
    <w:p w14:paraId="453BFFAF" w14:textId="77777777" w:rsidR="00352F16" w:rsidRPr="002A6357" w:rsidRDefault="00723F63" w:rsidP="00CC7D11">
      <w:pPr>
        <w:numPr>
          <w:ilvl w:val="0"/>
          <w:numId w:val="22"/>
        </w:numPr>
        <w:spacing w:after="0"/>
      </w:pPr>
      <w:r w:rsidRPr="002A6357">
        <w:rPr>
          <w:rFonts w:cs="Calibri"/>
          <w:szCs w:val="22"/>
        </w:rPr>
        <w:t xml:space="preserve">El preu indicat al Plec de Clàusules Administratives és un màxim, </w:t>
      </w:r>
      <w:r w:rsidR="00F66165" w:rsidRPr="002A6357">
        <w:rPr>
          <w:rFonts w:cs="Calibri"/>
          <w:szCs w:val="22"/>
        </w:rPr>
        <w:t>les empreses licitadores</w:t>
      </w:r>
      <w:r w:rsidRPr="002A6357">
        <w:rPr>
          <w:rFonts w:cs="Calibri"/>
          <w:szCs w:val="22"/>
        </w:rPr>
        <w:t xml:space="preserve"> hauran d’oferir un preu igual o a la baixa</w:t>
      </w:r>
      <w:r w:rsidR="00352F16" w:rsidRPr="002A6357">
        <w:rPr>
          <w:rFonts w:cs="Calibri"/>
          <w:szCs w:val="22"/>
        </w:rPr>
        <w:t xml:space="preserve"> en relació a cada referència o servei, essent excloses les ofertes que incloguin ofertes superiors</w:t>
      </w:r>
      <w:r w:rsidRPr="002A6357">
        <w:rPr>
          <w:rFonts w:cs="Calibri"/>
          <w:szCs w:val="22"/>
        </w:rPr>
        <w:t xml:space="preserve">. </w:t>
      </w:r>
    </w:p>
    <w:p w14:paraId="29CCBE48" w14:textId="77777777" w:rsidR="00352F16" w:rsidRPr="002A6357" w:rsidRDefault="00352F16" w:rsidP="00352F16">
      <w:pPr>
        <w:spacing w:after="0"/>
        <w:ind w:left="567"/>
        <w:rPr>
          <w:rFonts w:cs="Arial"/>
          <w:b/>
        </w:rPr>
      </w:pPr>
    </w:p>
    <w:p w14:paraId="2EACA49A" w14:textId="441FAF60" w:rsidR="004B32EE" w:rsidRPr="002A6357" w:rsidRDefault="00B504FD" w:rsidP="00CC7D11">
      <w:pPr>
        <w:numPr>
          <w:ilvl w:val="0"/>
          <w:numId w:val="22"/>
        </w:numPr>
        <w:spacing w:after="0"/>
      </w:pPr>
      <w:r>
        <w:t xml:space="preserve">Els preus s’indicaran amb </w:t>
      </w:r>
      <w:r w:rsidR="00723F63" w:rsidRPr="002A6357">
        <w:t>un</w:t>
      </w:r>
      <w:r w:rsidR="004B32EE" w:rsidRPr="002A6357">
        <w:t xml:space="preserve"> màxim de dos decimals, essent excloses les ofertes econòmiques quin percentatge contingui més de dos decimals.</w:t>
      </w:r>
    </w:p>
    <w:p w14:paraId="3033769F" w14:textId="77777777" w:rsidR="00E241AD" w:rsidRPr="002A6357" w:rsidRDefault="00E241AD" w:rsidP="0086693E">
      <w:pPr>
        <w:spacing w:after="0"/>
        <w:ind w:left="567"/>
      </w:pPr>
    </w:p>
    <w:p w14:paraId="415A80F6" w14:textId="3A4FCADF" w:rsidR="00E241AD" w:rsidRPr="002A6357" w:rsidRDefault="00E241AD" w:rsidP="00CC7D11">
      <w:pPr>
        <w:numPr>
          <w:ilvl w:val="0"/>
          <w:numId w:val="22"/>
        </w:numPr>
        <w:spacing w:after="0"/>
      </w:pPr>
      <w:bookmarkStart w:id="3" w:name="_Hlk114726509"/>
      <w:r w:rsidRPr="002A6357">
        <w:t xml:space="preserve">Cal que </w:t>
      </w:r>
      <w:r w:rsidR="00F66165" w:rsidRPr="002A6357">
        <w:t>les empreses licitadores</w:t>
      </w:r>
      <w:r w:rsidRPr="002A6357">
        <w:t xml:space="preserve"> que es presentin estiguin en condicions de presta</w:t>
      </w:r>
      <w:r w:rsidR="002A6357" w:rsidRPr="002A6357">
        <w:t xml:space="preserve">r la totalitat dels serveis </w:t>
      </w:r>
      <w:r w:rsidRPr="002A6357">
        <w:t>al que opten.</w:t>
      </w:r>
    </w:p>
    <w:p w14:paraId="481236FB" w14:textId="77777777" w:rsidR="00723F63" w:rsidRPr="00723F63" w:rsidRDefault="00723F63" w:rsidP="00723F63">
      <w:pPr>
        <w:spacing w:after="0"/>
        <w:ind w:left="567"/>
        <w:rPr>
          <w:highlight w:val="yellow"/>
        </w:rPr>
      </w:pPr>
    </w:p>
    <w:bookmarkEnd w:id="3"/>
    <w:p w14:paraId="4D9BC8D1" w14:textId="18DFA8E9" w:rsidR="00E241AD" w:rsidRPr="00B504FD" w:rsidRDefault="00B504FD" w:rsidP="00B504FD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504FD">
        <w:rPr>
          <w:rFonts w:ascii="Calibri" w:eastAsia="Calibri" w:hAnsi="Calibri" w:cs="Calibri"/>
          <w:b/>
          <w:color w:val="000000"/>
          <w:sz w:val="22"/>
          <w:szCs w:val="22"/>
          <w:lang w:val="ca-ES"/>
        </w:rPr>
        <w:t>Criteri Preu (90 Punts)</w:t>
      </w:r>
    </w:p>
    <w:p w14:paraId="73C66D5B" w14:textId="77777777" w:rsidR="00B504FD" w:rsidRPr="00B504FD" w:rsidRDefault="00B504FD" w:rsidP="00B504F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069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684"/>
        <w:gridCol w:w="1439"/>
        <w:gridCol w:w="1517"/>
        <w:gridCol w:w="684"/>
        <w:gridCol w:w="1197"/>
      </w:tblGrid>
      <w:tr w:rsidR="002A6357" w:rsidRPr="002A6357" w14:paraId="4AB94CF9" w14:textId="77777777" w:rsidTr="002A6357">
        <w:trPr>
          <w:trHeight w:val="64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14:paraId="3FA29123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Pressupost licitació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A6C3FB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>Oferta empresa licitadora</w:t>
            </w:r>
          </w:p>
        </w:tc>
      </w:tr>
      <w:tr w:rsidR="002A6357" w:rsidRPr="002A6357" w14:paraId="4EB7A53B" w14:textId="77777777" w:rsidTr="002A6357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CACFAA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Concepte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C8D731E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 unitari (sense IVA)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9860EE0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6F5A46F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>TOTAL 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B1EFF2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 unitari (sense IVA)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4EE48B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262DD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>TOTAL ANUAL</w:t>
            </w:r>
          </w:p>
        </w:tc>
      </w:tr>
      <w:tr w:rsidR="002A6357" w:rsidRPr="002A6357" w14:paraId="6B5D70A7" w14:textId="77777777" w:rsidTr="002A6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AA677" w14:textId="45200AA0" w:rsidR="002A6357" w:rsidRPr="002A6357" w:rsidRDefault="006F2B02" w:rsidP="006F2B02">
            <w:pPr>
              <w:widowControl/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Usuaris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21DC" w14:textId="54E2CF64" w:rsidR="002A6357" w:rsidRPr="002A6357" w:rsidRDefault="00522F82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6.000</w:t>
            </w:r>
            <w:r w:rsidR="002A6357"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CDDC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6211" w14:textId="22D825E5" w:rsidR="002A6357" w:rsidRPr="002A6357" w:rsidRDefault="002A6357" w:rsidP="00522F8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 xml:space="preserve">             </w:t>
            </w:r>
            <w:r w:rsidR="00522F82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6.000</w:t>
            </w: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 xml:space="preserve">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E44C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DAFA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7877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</w:tr>
      <w:tr w:rsidR="002A6357" w:rsidRPr="002A6357" w14:paraId="3C8F0CD1" w14:textId="77777777" w:rsidTr="002A6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7A795" w14:textId="53C18724" w:rsidR="002A6357" w:rsidRPr="002A6357" w:rsidRDefault="002A6357" w:rsidP="002A6357">
            <w:pPr>
              <w:widowControl/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Plataforma e</w:t>
            </w:r>
            <w:r w:rsidR="00522F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-</w:t>
            </w:r>
            <w:proofErr w:type="spellStart"/>
            <w:r w:rsidR="006F2B0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learning</w:t>
            </w:r>
            <w:proofErr w:type="spellEnd"/>
            <w:r w:rsidR="006F2B0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F523" w14:textId="75F1B612" w:rsidR="002A6357" w:rsidRPr="002A6357" w:rsidRDefault="00522F82" w:rsidP="00522F8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4.000</w:t>
            </w:r>
            <w:r w:rsidR="002A6357"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337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666E" w14:textId="3B3A8AEE" w:rsidR="002A6357" w:rsidRPr="002A6357" w:rsidRDefault="00522F82" w:rsidP="00522F82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4.000</w:t>
            </w:r>
            <w:r w:rsidR="002A6357"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4E73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4601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5EFE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</w:tr>
      <w:tr w:rsidR="002A6357" w:rsidRPr="002A6357" w14:paraId="26B9DF8F" w14:textId="77777777" w:rsidTr="002A6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B7FE5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Aula virtual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6975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4.080,00 €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B3E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1D23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 xml:space="preserve">             4.080,00 €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BF8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449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BA2B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</w:tr>
      <w:tr w:rsidR="002A6357" w:rsidRPr="002A6357" w14:paraId="0DF9BDFA" w14:textId="77777777" w:rsidTr="002A6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245EB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Serveis implantació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2177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45,00 €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495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245E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 xml:space="preserve">             1.035,00 €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F4A1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8D19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ABEF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</w:tr>
      <w:tr w:rsidR="002A6357" w:rsidRPr="002A6357" w14:paraId="455AB9F8" w14:textId="77777777" w:rsidTr="002A63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9E49B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Borsa d'hores addicionals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DE68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45,00 €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C49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1AEC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 xml:space="preserve">             4.500,00 €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A0E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1B3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181C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</w:tr>
      <w:tr w:rsidR="002A6357" w:rsidRPr="002A6357" w14:paraId="51D89A51" w14:textId="77777777" w:rsidTr="002A6357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49D4A17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03CE1" w14:textId="5CD858C6" w:rsidR="002A6357" w:rsidRPr="002A6357" w:rsidRDefault="002A6357" w:rsidP="00522F8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 xml:space="preserve">          </w:t>
            </w:r>
            <w:r w:rsidR="00522F82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>19.615</w:t>
            </w:r>
            <w:r w:rsidRPr="002A6357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 xml:space="preserve">,00 €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29C6C7E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ACEB4" w14:textId="77777777" w:rsidR="002A6357" w:rsidRPr="002A6357" w:rsidRDefault="002A6357" w:rsidP="002A6357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</w:pPr>
            <w:r w:rsidRPr="002A6357">
              <w:rPr>
                <w:rFonts w:eastAsia="Times New Roman" w:cs="Calibri"/>
                <w:kern w:val="0"/>
                <w:sz w:val="18"/>
                <w:szCs w:val="18"/>
                <w:lang w:eastAsia="ca-ES" w:bidi="ar-SA"/>
              </w:rPr>
              <w:t> </w:t>
            </w:r>
          </w:p>
        </w:tc>
      </w:tr>
    </w:tbl>
    <w:p w14:paraId="6C73C72D" w14:textId="77777777" w:rsidR="00E241AD" w:rsidRPr="00E241AD" w:rsidRDefault="00E241A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747E9C6" w14:textId="77777777" w:rsidR="00853D86" w:rsidRDefault="00853D86" w:rsidP="00853D86">
      <w:pPr>
        <w:pStyle w:val="Textoindependiente"/>
        <w:spacing w:after="0"/>
        <w:ind w:left="567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</w:p>
    <w:p w14:paraId="03C51FC9" w14:textId="77777777" w:rsidR="00B504FD" w:rsidRPr="00B504FD" w:rsidRDefault="00B504FD" w:rsidP="00B504FD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r w:rsidRPr="00B504F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Millora en el termini de traspàs de dades. Fins un màxim de </w:t>
      </w:r>
      <w:r w:rsidRPr="00B504FD">
        <w:rPr>
          <w:rFonts w:ascii="Calibri" w:eastAsia="Times New Roman" w:hAnsi="Calibri" w:cs="Calibri"/>
          <w:b/>
          <w:sz w:val="22"/>
          <w:szCs w:val="22"/>
          <w:u w:val="single"/>
          <w:bdr w:val="single" w:sz="4" w:space="0" w:color="auto"/>
          <w:lang w:eastAsia="x-none"/>
        </w:rPr>
        <w:t>10 punts.</w:t>
      </w:r>
    </w:p>
    <w:p w14:paraId="3C611007" w14:textId="77777777" w:rsidR="00B504FD" w:rsidRDefault="00B504FD" w:rsidP="00B504FD">
      <w:pPr>
        <w:autoSpaceDE w:val="0"/>
        <w:autoSpaceDN w:val="0"/>
        <w:adjustRightInd w:val="0"/>
        <w:rPr>
          <w:rFonts w:eastAsia="Times New Roman" w:cs="Calibri"/>
          <w:szCs w:val="22"/>
          <w:lang w:eastAsia="x-none"/>
        </w:rPr>
      </w:pPr>
    </w:p>
    <w:p w14:paraId="72B0A43F" w14:textId="77777777" w:rsidR="00B504FD" w:rsidRDefault="00B504FD" w:rsidP="00B504FD">
      <w:pPr>
        <w:autoSpaceDE w:val="0"/>
        <w:autoSpaceDN w:val="0"/>
        <w:adjustRightInd w:val="0"/>
        <w:rPr>
          <w:rFonts w:cstheme="minorHAnsi"/>
          <w:szCs w:val="22"/>
        </w:rPr>
      </w:pPr>
      <w:r w:rsidRPr="00394D7B">
        <w:rPr>
          <w:rFonts w:eastAsia="Times New Roman" w:cs="Calibri"/>
          <w:szCs w:val="22"/>
          <w:lang w:eastAsia="x-none"/>
        </w:rPr>
        <w:t>L’apartat 5.1 del plec de prescripcions tècniques estableix “</w:t>
      </w:r>
      <w:r w:rsidRPr="00394D7B">
        <w:rPr>
          <w:rFonts w:cstheme="minorHAnsi"/>
          <w:szCs w:val="22"/>
        </w:rPr>
        <w:t>Es requereix que la nova empresa</w:t>
      </w:r>
      <w:r w:rsidRPr="00667DFA">
        <w:rPr>
          <w:rFonts w:cstheme="minorHAnsi"/>
          <w:szCs w:val="22"/>
        </w:rPr>
        <w:t xml:space="preserve"> adjudicatària realitzi un traspàs de tota la informació i historial de formacions e-</w:t>
      </w:r>
      <w:proofErr w:type="spellStart"/>
      <w:r w:rsidRPr="00667DFA">
        <w:rPr>
          <w:rFonts w:cstheme="minorHAnsi"/>
          <w:szCs w:val="22"/>
        </w:rPr>
        <w:t>learning</w:t>
      </w:r>
      <w:proofErr w:type="spellEnd"/>
      <w:r w:rsidRPr="00667DFA">
        <w:rPr>
          <w:rFonts w:cstheme="minorHAnsi"/>
          <w:szCs w:val="22"/>
        </w:rPr>
        <w:t xml:space="preserve"> al nou </w:t>
      </w:r>
      <w:proofErr w:type="spellStart"/>
      <w:r w:rsidRPr="00667DFA">
        <w:rPr>
          <w:rFonts w:cstheme="minorHAnsi"/>
          <w:szCs w:val="22"/>
        </w:rPr>
        <w:t>aplicatiu</w:t>
      </w:r>
      <w:proofErr w:type="spellEnd"/>
      <w:r w:rsidRPr="00667DFA">
        <w:rPr>
          <w:rFonts w:cstheme="minorHAnsi"/>
          <w:szCs w:val="22"/>
        </w:rPr>
        <w:t xml:space="preserve"> que s’adjudiqui</w:t>
      </w:r>
      <w:r>
        <w:rPr>
          <w:rFonts w:cstheme="minorHAnsi"/>
          <w:szCs w:val="22"/>
        </w:rPr>
        <w:t>”....</w:t>
      </w:r>
      <w:r w:rsidRPr="00394D7B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El termini màxim per fer el traspàs s’estableix en</w:t>
      </w:r>
      <w:r w:rsidRPr="002C17C7">
        <w:rPr>
          <w:rFonts w:cstheme="minorHAnsi"/>
          <w:szCs w:val="22"/>
        </w:rPr>
        <w:t xml:space="preserve"> 18 dies</w:t>
      </w:r>
      <w:r>
        <w:rPr>
          <w:rFonts w:cstheme="minorHAnsi"/>
          <w:szCs w:val="22"/>
        </w:rPr>
        <w:t xml:space="preserve"> naturals. </w:t>
      </w:r>
    </w:p>
    <w:p w14:paraId="7D99FE91" w14:textId="77777777" w:rsidR="00B504FD" w:rsidRDefault="00B504FD" w:rsidP="00B504FD">
      <w:pPr>
        <w:autoSpaceDE w:val="0"/>
        <w:autoSpaceDN w:val="0"/>
        <w:adjustRightInd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S’atorgaran 10 punts a les empreses que es comprometin a fer el traspàs de les dades en 7 dies naturals. </w:t>
      </w:r>
    </w:p>
    <w:p w14:paraId="5A72DE40" w14:textId="60F95514" w:rsidR="00B504FD" w:rsidRDefault="00B504F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Em comprometo a fer el traspàs de dades indicades en l’apartat 5.1 del PPT en 7 dies naturals  </w:t>
      </w:r>
      <w:sdt>
        <w:sdtPr>
          <w:rPr>
            <w:rFonts w:eastAsia="Calibri" w:cs="Calibri"/>
            <w:color w:val="000000"/>
            <w:szCs w:val="22"/>
          </w:rPr>
          <w:id w:val="118556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Cs w:val="22"/>
            </w:rPr>
            <w:t>☐</w:t>
          </w:r>
        </w:sdtContent>
      </w:sdt>
    </w:p>
    <w:p w14:paraId="5841D78D" w14:textId="77777777" w:rsidR="00B504FD" w:rsidRDefault="00B504F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433E3C3" w14:textId="77777777" w:rsidR="00B504FD" w:rsidRDefault="00B504FD" w:rsidP="00B504FD">
      <w:pPr>
        <w:autoSpaceDE w:val="0"/>
        <w:autoSpaceDN w:val="0"/>
        <w:adjustRightInd w:val="0"/>
        <w:rPr>
          <w:rFonts w:cstheme="minorHAnsi"/>
          <w:szCs w:val="22"/>
        </w:rPr>
      </w:pPr>
      <w:r>
        <w:rPr>
          <w:rFonts w:cstheme="minorHAnsi"/>
          <w:szCs w:val="22"/>
        </w:rPr>
        <w:t>Cal marcar amb una x el requadre per deixar constància del compromís.</w:t>
      </w:r>
    </w:p>
    <w:p w14:paraId="70F71CA7" w14:textId="77777777" w:rsidR="00B504FD" w:rsidRDefault="00B504F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0ACED9A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5240848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25E9C1C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2978BA8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AD56954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83675F5" w14:textId="77777777" w:rsidR="00532285" w:rsidRDefault="007A4A7B" w:rsidP="0086693E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1C57FDEF" w14:textId="77777777" w:rsidR="00514361" w:rsidRDefault="00514361" w:rsidP="0086693E">
      <w:pPr>
        <w:spacing w:after="0"/>
        <w:rPr>
          <w:rFonts w:cs="Calibri"/>
          <w:szCs w:val="22"/>
        </w:rPr>
      </w:pPr>
    </w:p>
    <w:p w14:paraId="76B5777D" w14:textId="77777777" w:rsidR="007718E2" w:rsidRDefault="007718E2" w:rsidP="0086693E">
      <w:pPr>
        <w:spacing w:after="0"/>
        <w:rPr>
          <w:rFonts w:cs="Calibri"/>
          <w:szCs w:val="22"/>
        </w:rPr>
      </w:pPr>
    </w:p>
    <w:p w14:paraId="2AB5E30F" w14:textId="77777777" w:rsidR="007718E2" w:rsidRDefault="007718E2" w:rsidP="0086693E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1ED4789D" w14:textId="77777777" w:rsidR="007718E2" w:rsidRPr="00514361" w:rsidRDefault="007718E2" w:rsidP="007718E2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823E16C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738BC386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53D8DCF8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1A20882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002D4B15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64A60EA9" w14:textId="77777777" w:rsidR="00514361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9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</w:t>
      </w:r>
      <w:r w:rsidR="00514361" w:rsidRPr="00514361">
        <w:rPr>
          <w:sz w:val="20"/>
          <w:szCs w:val="20"/>
        </w:rPr>
        <w:t xml:space="preserve"> </w:t>
      </w:r>
    </w:p>
    <w:bookmarkEnd w:id="5"/>
    <w:p w14:paraId="3886593D" w14:textId="2CAA415C" w:rsidR="003A3739" w:rsidRPr="00C534C9" w:rsidRDefault="003A3739" w:rsidP="003A373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</w:p>
    <w:sectPr w:rsidR="003A3739" w:rsidRPr="00C534C9" w:rsidSect="00D24E9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E06E" w14:textId="77777777" w:rsidR="0000612F" w:rsidRDefault="0000612F" w:rsidP="005D6348">
      <w:r>
        <w:separator/>
      </w:r>
    </w:p>
  </w:endnote>
  <w:endnote w:type="continuationSeparator" w:id="0">
    <w:p w14:paraId="37687590" w14:textId="77777777" w:rsidR="0000612F" w:rsidRDefault="0000612F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168D" w14:textId="51EA57CE" w:rsidR="0000612F" w:rsidRPr="00B924CE" w:rsidRDefault="0000612F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Pr="006B4597">
      <w:rPr>
        <w:rFonts w:ascii="Calibri" w:hAnsi="Calibri" w:cs="Calibri"/>
      </w:rPr>
      <w:t>220/2024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6F2B02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6F2B02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A29E" w14:textId="77777777" w:rsidR="0000612F" w:rsidRDefault="0000612F" w:rsidP="005D6348">
      <w:r>
        <w:separator/>
      </w:r>
    </w:p>
  </w:footnote>
  <w:footnote w:type="continuationSeparator" w:id="0">
    <w:p w14:paraId="56D5CD37" w14:textId="77777777" w:rsidR="0000612F" w:rsidRDefault="0000612F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19B77" w14:textId="77777777" w:rsidR="0000612F" w:rsidRDefault="0000612F" w:rsidP="006B4597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05F946" wp14:editId="0F38D27E">
          <wp:simplePos x="0" y="0"/>
          <wp:positionH relativeFrom="column">
            <wp:posOffset>2143125</wp:posOffset>
          </wp:positionH>
          <wp:positionV relativeFrom="paragraph">
            <wp:posOffset>0</wp:posOffset>
          </wp:positionV>
          <wp:extent cx="2052000" cy="1026000"/>
          <wp:effectExtent l="0" t="0" r="0" b="0"/>
          <wp:wrapNone/>
          <wp:docPr id="4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rPr>
        <w:noProof/>
      </w:rPr>
      <w:drawing>
        <wp:inline distT="0" distB="0" distL="0" distR="0" wp14:anchorId="11EFDA02" wp14:editId="398B34FA">
          <wp:extent cx="975360" cy="997306"/>
          <wp:effectExtent l="0" t="0" r="0" b="0"/>
          <wp:docPr id="6" name="Imagen 6" descr="Z:\AREA JURIDICA\Contractacio\CONTRACTACIÓ\Manuals i procediments\icones ODS\ODS_4_educació_de_qualit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AREA JURIDICA\Contractacio\CONTRACTACIÓ\Manuals i procediments\icones ODS\ODS_4_educació_de_qualita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099" cy="100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1573D7">
      <w:rPr>
        <w:rFonts w:cs="Calibri"/>
        <w:noProof/>
      </w:rPr>
      <w:drawing>
        <wp:inline distT="0" distB="0" distL="0" distR="0" wp14:anchorId="2C7C21C7" wp14:editId="3128A9A8">
          <wp:extent cx="982980" cy="990295"/>
          <wp:effectExtent l="0" t="0" r="7620" b="635"/>
          <wp:docPr id="2" name="Imagen 2" descr="Z:\AREA JURIDICA\Contractacio\CONTRACTACIÓ\Manuals i procediments\icones ODS\ODS_8_treball_digne_i_creixement_econò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8_treball_digne_i_creixement_econòmi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04" cy="99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52E18" w14:textId="2A0EFE34" w:rsidR="0000612F" w:rsidRPr="006B4597" w:rsidRDefault="0000612F" w:rsidP="006B45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13B48"/>
    <w:multiLevelType w:val="hybridMultilevel"/>
    <w:tmpl w:val="CE9A8472"/>
    <w:lvl w:ilvl="0" w:tplc="B276F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2489E"/>
    <w:multiLevelType w:val="hybridMultilevel"/>
    <w:tmpl w:val="15A6F29E"/>
    <w:lvl w:ilvl="0" w:tplc="B276F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786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F706C"/>
    <w:multiLevelType w:val="hybridMultilevel"/>
    <w:tmpl w:val="78001A66"/>
    <w:lvl w:ilvl="0" w:tplc="D8B8AAD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C67B4"/>
    <w:multiLevelType w:val="hybridMultilevel"/>
    <w:tmpl w:val="6D8AB6A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BD3BBF"/>
    <w:multiLevelType w:val="hybridMultilevel"/>
    <w:tmpl w:val="B4C2F5D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92FEAD3E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1"/>
  </w:num>
  <w:num w:numId="20">
    <w:abstractNumId w:val="0"/>
  </w:num>
  <w:num w:numId="21">
    <w:abstractNumId w:val="18"/>
  </w:num>
  <w:num w:numId="22">
    <w:abstractNumId w:val="25"/>
  </w:num>
  <w:num w:numId="23">
    <w:abstractNumId w:val="9"/>
  </w:num>
  <w:num w:numId="24">
    <w:abstractNumId w:val="27"/>
  </w:num>
  <w:num w:numId="25">
    <w:abstractNumId w:val="7"/>
  </w:num>
  <w:num w:numId="26">
    <w:abstractNumId w:val="20"/>
  </w:num>
  <w:num w:numId="27">
    <w:abstractNumId w:val="6"/>
  </w:num>
  <w:num w:numId="28">
    <w:abstractNumId w:val="15"/>
  </w:num>
  <w:num w:numId="29">
    <w:abstractNumId w:val="26"/>
  </w:num>
  <w:num w:numId="30">
    <w:abstractNumId w:val="10"/>
  </w:num>
  <w:num w:numId="31">
    <w:abstractNumId w:val="23"/>
  </w:num>
  <w:num w:numId="32">
    <w:abstractNumId w:val="24"/>
  </w:num>
  <w:num w:numId="33">
    <w:abstractNumId w:val="13"/>
  </w:num>
  <w:num w:numId="34">
    <w:abstractNumId w:val="1"/>
  </w:num>
  <w:num w:numId="35">
    <w:abstractNumId w:val="8"/>
  </w:num>
  <w:num w:numId="36">
    <w:abstractNumId w:val="19"/>
  </w:num>
  <w:num w:numId="37">
    <w:abstractNumId w:val="5"/>
  </w:num>
  <w:num w:numId="38">
    <w:abstractNumId w:val="2"/>
  </w:num>
  <w:num w:numId="39">
    <w:abstractNumId w:val="11"/>
  </w:num>
  <w:num w:numId="40">
    <w:abstractNumId w:val="17"/>
  </w:num>
  <w:num w:numId="41">
    <w:abstractNumId w:val="22"/>
  </w:num>
  <w:num w:numId="42">
    <w:abstractNumId w:val="16"/>
  </w:num>
  <w:num w:numId="43">
    <w:abstractNumId w:val="12"/>
  </w:num>
  <w:num w:numId="44">
    <w:abstractNumId w:val="14"/>
  </w:num>
  <w:num w:numId="45">
    <w:abstractNumId w:val="3"/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12F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1D35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6E5"/>
    <w:rsid w:val="001B7FB1"/>
    <w:rsid w:val="001C10B3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3F7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635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2582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4D7B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58C8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2F82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A6D02"/>
    <w:rsid w:val="006B0DA9"/>
    <w:rsid w:val="006B2C96"/>
    <w:rsid w:val="006B4597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3D7E"/>
    <w:rsid w:val="006E5914"/>
    <w:rsid w:val="006E610E"/>
    <w:rsid w:val="006E7392"/>
    <w:rsid w:val="006E7A84"/>
    <w:rsid w:val="006E7E26"/>
    <w:rsid w:val="006E7F8D"/>
    <w:rsid w:val="006F0223"/>
    <w:rsid w:val="006F2B02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05C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5B1A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42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0ADF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3D86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D87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4804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4EE3"/>
    <w:rsid w:val="00986C73"/>
    <w:rsid w:val="00992693"/>
    <w:rsid w:val="009947E1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A7A7E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3327"/>
    <w:rsid w:val="00A13A65"/>
    <w:rsid w:val="00A13D5F"/>
    <w:rsid w:val="00A1547A"/>
    <w:rsid w:val="00A15FE7"/>
    <w:rsid w:val="00A21839"/>
    <w:rsid w:val="00A21D48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973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253B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4FD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1BE2"/>
    <w:rsid w:val="00C52E2E"/>
    <w:rsid w:val="00C534C9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4D85"/>
    <w:rsid w:val="00CB65C2"/>
    <w:rsid w:val="00CC06F5"/>
    <w:rsid w:val="00CC0FF5"/>
    <w:rsid w:val="00CC2757"/>
    <w:rsid w:val="00CC3063"/>
    <w:rsid w:val="00CC3354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48A"/>
    <w:rsid w:val="00CF6EDA"/>
    <w:rsid w:val="00D00004"/>
    <w:rsid w:val="00D00085"/>
    <w:rsid w:val="00D002E7"/>
    <w:rsid w:val="00D00488"/>
    <w:rsid w:val="00D00E79"/>
    <w:rsid w:val="00D0113B"/>
    <w:rsid w:val="00D019E9"/>
    <w:rsid w:val="00D02374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5DD4"/>
    <w:rsid w:val="00E0749E"/>
    <w:rsid w:val="00E10BD4"/>
    <w:rsid w:val="00E12DEE"/>
    <w:rsid w:val="00E13443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6538"/>
    <w:rsid w:val="00E966F5"/>
    <w:rsid w:val="00E97A7A"/>
    <w:rsid w:val="00EA00C4"/>
    <w:rsid w:val="00EA0863"/>
    <w:rsid w:val="00EA0FD6"/>
    <w:rsid w:val="00EA32F1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67A3"/>
    <w:rsid w:val="00F17581"/>
    <w:rsid w:val="00F233EA"/>
    <w:rsid w:val="00F24907"/>
    <w:rsid w:val="00F251B2"/>
    <w:rsid w:val="00F27939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350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odelmarcadordeposicin">
    <w:name w:val="Placeholder Text"/>
    <w:basedOn w:val="Fuentedeprrafopredeter"/>
    <w:uiPriority w:val="99"/>
    <w:semiHidden/>
    <w:rsid w:val="003A3739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2CF1-16EB-4B80-8529-46BDF7D58C78}"/>
      </w:docPartPr>
      <w:docPartBody>
        <w:p w:rsidR="00AF30C5" w:rsidRDefault="00CF24D4"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4"/>
    <w:rsid w:val="003F659D"/>
    <w:rsid w:val="00822207"/>
    <w:rsid w:val="00AF30C5"/>
    <w:rsid w:val="00C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4D4"/>
    <w:rPr>
      <w:color w:val="808080"/>
    </w:rPr>
  </w:style>
  <w:style w:type="paragraph" w:customStyle="1" w:styleId="748E589157D042E6A241AEC3C694D953">
    <w:name w:val="748E589157D042E6A241AEC3C694D953"/>
    <w:rsid w:val="00CF2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20B65-CA6C-4D40-914A-F97D94AA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3476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5</cp:revision>
  <cp:lastPrinted>2022-06-03T12:22:00Z</cp:lastPrinted>
  <dcterms:created xsi:type="dcterms:W3CDTF">2024-08-21T08:38:00Z</dcterms:created>
  <dcterms:modified xsi:type="dcterms:W3CDTF">2024-08-30T10:19:00Z</dcterms:modified>
</cp:coreProperties>
</file>