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0138B3" w:rsidRPr="009B139E" w:rsidRDefault="000138B3" w:rsidP="000138B3">
      <w:pPr>
        <w:jc w:val="both"/>
        <w:rPr>
          <w:rFonts w:ascii="Arial" w:hAnsi="Arial" w:cs="Arial"/>
          <w:i/>
          <w:sz w:val="22"/>
          <w:szCs w:val="22"/>
          <w:highlight w:val="yellow"/>
          <w:lang w:val="ca-ES"/>
        </w:rPr>
      </w:pPr>
      <w:proofErr w:type="spellStart"/>
      <w:r w:rsidRPr="009B139E">
        <w:rPr>
          <w:rFonts w:ascii="Arial" w:hAnsi="Arial" w:cs="Arial"/>
          <w:sz w:val="22"/>
          <w:szCs w:val="22"/>
          <w:highlight w:val="yellow"/>
          <w:lang w:val="ca-ES"/>
        </w:rPr>
        <w:lastRenderedPageBreak/>
        <w:t>CSE</w:t>
      </w:r>
      <w:proofErr w:type="spellEnd"/>
      <w:r w:rsidRPr="009B139E">
        <w:rPr>
          <w:rFonts w:ascii="Arial" w:hAnsi="Arial" w:cs="Arial"/>
          <w:sz w:val="22"/>
          <w:szCs w:val="22"/>
          <w:highlight w:val="yellow"/>
          <w:lang w:val="ca-ES"/>
        </w:rPr>
        <w:t>/AH03/</w:t>
      </w:r>
      <w:r w:rsidR="009B139E" w:rsidRPr="009B139E">
        <w:rPr>
          <w:rFonts w:ascii="Arial" w:hAnsi="Arial" w:cs="Arial"/>
          <w:sz w:val="22"/>
          <w:szCs w:val="22"/>
          <w:highlight w:val="yellow"/>
          <w:lang w:val="ca-ES"/>
        </w:rPr>
        <w:t>110137</w:t>
      </w:r>
      <w:r w:rsidR="00247817">
        <w:rPr>
          <w:rFonts w:ascii="Arial" w:hAnsi="Arial" w:cs="Arial"/>
          <w:sz w:val="22"/>
          <w:szCs w:val="22"/>
          <w:highlight w:val="yellow"/>
          <w:lang w:val="ca-ES"/>
        </w:rPr>
        <w:t>3161</w:t>
      </w:r>
      <w:r w:rsidRPr="009B139E">
        <w:rPr>
          <w:rFonts w:ascii="Arial" w:hAnsi="Arial" w:cs="Arial"/>
          <w:sz w:val="22"/>
          <w:szCs w:val="22"/>
          <w:highlight w:val="yellow"/>
          <w:lang w:val="ca-ES"/>
        </w:rPr>
        <w:t>/24/</w:t>
      </w:r>
      <w:proofErr w:type="spellStart"/>
      <w:r w:rsidRPr="009B139E">
        <w:rPr>
          <w:rFonts w:ascii="Arial" w:hAnsi="Arial" w:cs="Arial"/>
          <w:sz w:val="22"/>
          <w:szCs w:val="22"/>
          <w:highlight w:val="yellow"/>
          <w:lang w:val="ca-ES"/>
        </w:rPr>
        <w:t>PNSP</w:t>
      </w:r>
      <w:proofErr w:type="spellEnd"/>
    </w:p>
    <w:p w:rsidR="00701462" w:rsidRDefault="0070146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7A2E49" w:rsidRDefault="00182272" w:rsidP="00182272">
      <w:pPr>
        <w:pStyle w:val="Prrafodelista"/>
        <w:ind w:left="567" w:hanging="283"/>
        <w:jc w:val="both"/>
        <w:rPr>
          <w:rFonts w:ascii="Arial" w:hAnsi="Arial" w:cs="Arial"/>
          <w:lang w:val="ca-ES"/>
        </w:rPr>
      </w:pPr>
    </w:p>
    <w:p w:rsidR="00182272" w:rsidRPr="002D1F2A" w:rsidRDefault="00182272" w:rsidP="00182272">
      <w:pPr>
        <w:ind w:left="567"/>
        <w:jc w:val="both"/>
        <w:rPr>
          <w:rFonts w:ascii="Arial" w:hAnsi="Arial" w:cs="Arial"/>
          <w:sz w:val="22"/>
          <w:szCs w:val="22"/>
          <w:lang w:val="ca-ES"/>
        </w:rPr>
      </w:pPr>
      <w:bookmarkStart w:id="1" w:name="_GoBack"/>
      <w:bookmarkEnd w:id="1"/>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rrafodelista"/>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rrafodelista"/>
        <w:ind w:left="567" w:hanging="283"/>
        <w:rPr>
          <w:rFonts w:ascii="Arial" w:hAnsi="Arial" w:cs="Arial"/>
          <w:sz w:val="22"/>
          <w:szCs w:val="22"/>
          <w:lang w:val="ca-ES"/>
        </w:rPr>
      </w:pPr>
    </w:p>
    <w:p w:rsidR="00182272" w:rsidRPr="002D1F2A" w:rsidRDefault="00182272" w:rsidP="00182272">
      <w:pPr>
        <w:pStyle w:val="Prrafodelista"/>
        <w:rPr>
          <w:rFonts w:ascii="Arial" w:hAnsi="Arial" w:cs="Arial"/>
          <w:sz w:val="22"/>
          <w:szCs w:val="22"/>
          <w:lang w:val="ca-ES"/>
        </w:rPr>
      </w:pPr>
    </w:p>
    <w:p w:rsidR="00182272" w:rsidRPr="002D1F2A" w:rsidRDefault="00182272" w:rsidP="00182272">
      <w:pPr>
        <w:pStyle w:val="Ttulo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498" w:rsidRDefault="002C4498" w:rsidP="00F43205">
      <w:r>
        <w:separator/>
      </w:r>
    </w:p>
  </w:endnote>
  <w:endnote w:type="continuationSeparator" w:id="0">
    <w:p w:rsidR="002C4498" w:rsidRDefault="002C449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iedepgina"/>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498" w:rsidRDefault="002C4498" w:rsidP="00F43205">
      <w:r>
        <w:separator/>
      </w:r>
    </w:p>
  </w:footnote>
  <w:footnote w:type="continuationSeparator" w:id="0">
    <w:p w:rsidR="002C4498" w:rsidRDefault="002C4498" w:rsidP="00F432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Encabezado"/>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138B3"/>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47817"/>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01462"/>
    <w:rsid w:val="00717F0D"/>
    <w:rsid w:val="007710E2"/>
    <w:rsid w:val="0078052A"/>
    <w:rsid w:val="007A2E49"/>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B139E"/>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578E0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210C-12F3-42F3-BC7E-F7C0672DD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F60E6-4315-43A1-822F-CC2163EF6299}">
  <ds:schemaRefs>
    <ds:schemaRef ds:uri="http://schemas.microsoft.com/sharepoint/v3/contenttype/forms"/>
  </ds:schemaRefs>
</ds:datastoreItem>
</file>

<file path=customXml/itemProps3.xml><?xml version="1.0" encoding="utf-8"?>
<ds:datastoreItem xmlns:ds="http://schemas.openxmlformats.org/officeDocument/2006/customXml" ds:itemID="{2347E4E4-68E1-4EC9-B2FB-ACB9D91EED9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A895323-D75C-4297-A604-02272D52A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1831</Words>
  <Characters>9984</Characters>
  <Application>Microsoft Office Word</Application>
  <DocSecurity>0</DocSecurity>
  <Lines>453</Lines>
  <Paragraphs>295</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Isabel Solaz Donate</cp:lastModifiedBy>
  <cp:revision>8</cp:revision>
  <cp:lastPrinted>2023-03-13T13:08:00Z</cp:lastPrinted>
  <dcterms:created xsi:type="dcterms:W3CDTF">2023-03-13T13:21:00Z</dcterms:created>
  <dcterms:modified xsi:type="dcterms:W3CDTF">2023-12-07T13:11:00Z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