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A562C" w14:textId="3775633C" w:rsidR="00F271EB" w:rsidRPr="006B1AF2" w:rsidRDefault="00F271EB" w:rsidP="00F271EB">
      <w:pPr>
        <w:pStyle w:val="Ttol1"/>
      </w:pPr>
      <w:r w:rsidRPr="006B1AF2">
        <w:t xml:space="preserve">ANNEX  </w:t>
      </w:r>
      <w:r w:rsidR="00CF1428">
        <w:t>4.0.2</w:t>
      </w:r>
    </w:p>
    <w:p w14:paraId="0CE9F089" w14:textId="77777777" w:rsidR="00F271EB" w:rsidRPr="006B1AF2" w:rsidRDefault="00F271EB" w:rsidP="00F271EB">
      <w:pPr>
        <w:rPr>
          <w:rFonts w:cs="Arial"/>
          <w:color w:val="000000"/>
          <w:spacing w:val="-2"/>
          <w:sz w:val="20"/>
        </w:rPr>
      </w:pPr>
    </w:p>
    <w:p w14:paraId="35837FAC" w14:textId="3B718349" w:rsidR="00F271EB" w:rsidRPr="006B1AF2" w:rsidRDefault="00F271EB" w:rsidP="00F271EB">
      <w:pPr>
        <w:pStyle w:val="Ttol2"/>
        <w:numPr>
          <w:ilvl w:val="0"/>
          <w:numId w:val="3"/>
        </w:numPr>
      </w:pPr>
      <w:r w:rsidRPr="006B1AF2">
        <w:rPr>
          <w:rFonts w:eastAsia="Times New Roman" w:cs="Arial"/>
          <w:color w:val="000000"/>
          <w:spacing w:val="-2"/>
          <w:szCs w:val="24"/>
        </w:rPr>
        <w:t>MODEL D’OFERTA ECONÒMICA</w:t>
      </w:r>
      <w:r w:rsidRPr="006B1AF2">
        <w:t xml:space="preserve"> GENERAL </w:t>
      </w:r>
      <w:r w:rsidR="00695FDE">
        <w:t xml:space="preserve">LOT </w:t>
      </w:r>
      <w:r w:rsidR="00617412">
        <w:t>2</w:t>
      </w:r>
    </w:p>
    <w:p w14:paraId="1F5691ED" w14:textId="77777777" w:rsidR="00F271EB" w:rsidRPr="006B1AF2" w:rsidRDefault="00F271EB" w:rsidP="00F271EB"/>
    <w:p w14:paraId="10C5A834" w14:textId="444A367E" w:rsidR="00F271EB" w:rsidRPr="00705ED5" w:rsidRDefault="00F271EB" w:rsidP="00F271EB">
      <w:pPr>
        <w:pStyle w:val="Senseespaiat"/>
        <w:rPr>
          <w:sz w:val="20"/>
          <w:szCs w:val="20"/>
        </w:rPr>
      </w:pPr>
      <w:r w:rsidRPr="00705ED5">
        <w:rPr>
          <w:sz w:val="20"/>
          <w:szCs w:val="20"/>
        </w:rPr>
        <w:t>En/na</w:t>
      </w:r>
      <w:r w:rsidRPr="00705ED5">
        <w:rPr>
          <w:sz w:val="20"/>
          <w:szCs w:val="20"/>
        </w:rPr>
        <w:tab/>
      </w:r>
      <w:r w:rsidRPr="00705ED5">
        <w:rPr>
          <w:sz w:val="20"/>
          <w:szCs w:val="20"/>
        </w:rPr>
        <w:tab/>
        <w:t>, amb NIF</w:t>
      </w:r>
      <w:r w:rsidRPr="00705ED5">
        <w:rPr>
          <w:sz w:val="20"/>
          <w:szCs w:val="20"/>
        </w:rPr>
        <w:tab/>
        <w:t xml:space="preserve">, en qualitat de </w:t>
      </w:r>
      <w:r w:rsidRPr="00705ED5">
        <w:rPr>
          <w:sz w:val="20"/>
          <w:szCs w:val="20"/>
        </w:rPr>
        <w:tab/>
      </w:r>
      <w:r w:rsidRPr="00705ED5">
        <w:rPr>
          <w:sz w:val="20"/>
          <w:szCs w:val="20"/>
        </w:rPr>
        <w:tab/>
        <w:t>i en nom i representació de la societat</w:t>
      </w:r>
      <w:r w:rsidRPr="00705ED5">
        <w:rPr>
          <w:sz w:val="20"/>
          <w:szCs w:val="20"/>
        </w:rPr>
        <w:tab/>
      </w:r>
      <w:r w:rsidRPr="00705ED5">
        <w:rPr>
          <w:sz w:val="20"/>
          <w:szCs w:val="20"/>
        </w:rPr>
        <w:tab/>
      </w:r>
      <w:r w:rsidRPr="00705ED5">
        <w:rPr>
          <w:sz w:val="20"/>
          <w:szCs w:val="20"/>
        </w:rPr>
        <w:tab/>
        <w:t xml:space="preserve">, amb CIF </w:t>
      </w:r>
      <w:r w:rsidR="00F31627">
        <w:rPr>
          <w:sz w:val="20"/>
          <w:szCs w:val="20"/>
        </w:rPr>
        <w:t xml:space="preserve">            </w:t>
      </w:r>
      <w:r w:rsidRPr="00705ED5">
        <w:rPr>
          <w:sz w:val="20"/>
          <w:szCs w:val="20"/>
        </w:rPr>
        <w:t xml:space="preserve">i domiciliada a </w:t>
      </w:r>
      <w:r w:rsidRPr="00705ED5">
        <w:rPr>
          <w:sz w:val="20"/>
          <w:szCs w:val="20"/>
        </w:rPr>
        <w:tab/>
      </w:r>
      <w:r w:rsidRPr="00705ED5">
        <w:rPr>
          <w:sz w:val="20"/>
          <w:szCs w:val="20"/>
        </w:rPr>
        <w:tab/>
      </w:r>
      <w:r w:rsidRPr="00705ED5">
        <w:rPr>
          <w:sz w:val="20"/>
          <w:szCs w:val="20"/>
        </w:rPr>
        <w:tab/>
      </w:r>
      <w:r w:rsidRPr="00705ED5">
        <w:rPr>
          <w:sz w:val="20"/>
          <w:szCs w:val="20"/>
        </w:rPr>
        <w:tab/>
        <w:t>, segons escriptura pública autoritzada davant Notari/a</w:t>
      </w:r>
      <w:r w:rsidRPr="00705ED5">
        <w:rPr>
          <w:sz w:val="20"/>
          <w:szCs w:val="20"/>
        </w:rPr>
        <w:tab/>
      </w:r>
      <w:r w:rsidRPr="00705ED5">
        <w:rPr>
          <w:sz w:val="20"/>
          <w:szCs w:val="20"/>
        </w:rPr>
        <w:tab/>
        <w:t xml:space="preserve">, en data </w:t>
      </w:r>
      <w:r w:rsidRPr="00705ED5">
        <w:rPr>
          <w:sz w:val="20"/>
          <w:szCs w:val="20"/>
        </w:rPr>
        <w:tab/>
        <w:t>i amb número de protocol</w:t>
      </w:r>
      <w:r w:rsidRPr="00705ED5">
        <w:rPr>
          <w:sz w:val="20"/>
          <w:szCs w:val="20"/>
        </w:rPr>
        <w:tab/>
      </w:r>
    </w:p>
    <w:p w14:paraId="09D287A5" w14:textId="5539D58B" w:rsidR="00F271EB" w:rsidRPr="00705ED5" w:rsidRDefault="00F271EB" w:rsidP="00F271EB">
      <w:pPr>
        <w:pStyle w:val="Senseespaiat"/>
        <w:rPr>
          <w:color w:val="000000"/>
          <w:spacing w:val="-2"/>
          <w:sz w:val="20"/>
          <w:szCs w:val="20"/>
        </w:rPr>
      </w:pPr>
      <w:r w:rsidRPr="00705ED5">
        <w:rPr>
          <w:sz w:val="20"/>
          <w:szCs w:val="20"/>
        </w:rPr>
        <w:t xml:space="preserve">, assabentat de l’anunci publicat en data </w:t>
      </w:r>
      <w:r w:rsidRPr="00705ED5">
        <w:rPr>
          <w:sz w:val="20"/>
          <w:szCs w:val="20"/>
        </w:rPr>
        <w:tab/>
      </w:r>
      <w:r w:rsidRPr="00705ED5">
        <w:rPr>
          <w:sz w:val="20"/>
          <w:szCs w:val="20"/>
        </w:rPr>
        <w:tab/>
        <w:t xml:space="preserve">en el perfil del contractant de l’Ajuntament de Sabadell i de les </w:t>
      </w:r>
      <w:r w:rsidRPr="00705ED5">
        <w:rPr>
          <w:color w:val="000000"/>
          <w:sz w:val="20"/>
          <w:szCs w:val="20"/>
        </w:rPr>
        <w:t xml:space="preserve">condicions i requisits que s’exigeixen per a l’adjudicació del contracte anomenat: </w:t>
      </w:r>
      <w:r w:rsidRPr="00705ED5">
        <w:rPr>
          <w:b/>
          <w:color w:val="000000"/>
          <w:sz w:val="20"/>
          <w:szCs w:val="20"/>
        </w:rPr>
        <w:t xml:space="preserve">Serveis de comunicacions </w:t>
      </w:r>
      <w:r w:rsidR="00695FDE">
        <w:rPr>
          <w:b/>
          <w:color w:val="000000"/>
          <w:sz w:val="20"/>
          <w:szCs w:val="20"/>
        </w:rPr>
        <w:t>de veu i dades fixes</w:t>
      </w:r>
      <w:r w:rsidRPr="00705ED5">
        <w:rPr>
          <w:b/>
          <w:color w:val="000000"/>
          <w:sz w:val="20"/>
          <w:szCs w:val="20"/>
        </w:rPr>
        <w:t xml:space="preserve"> de l’Ajuntament de Sabadell</w:t>
      </w:r>
      <w:r w:rsidRPr="00705ED5">
        <w:rPr>
          <w:color w:val="000000"/>
          <w:spacing w:val="-2"/>
          <w:sz w:val="20"/>
          <w:szCs w:val="20"/>
        </w:rPr>
        <w:t xml:space="preserve">, </w:t>
      </w:r>
      <w:r w:rsidR="00695FDE">
        <w:rPr>
          <w:color w:val="000000"/>
          <w:spacing w:val="-2"/>
          <w:sz w:val="20"/>
          <w:szCs w:val="20"/>
        </w:rPr>
        <w:t xml:space="preserve">concretament al Lot </w:t>
      </w:r>
      <w:r w:rsidR="00617412">
        <w:rPr>
          <w:color w:val="000000"/>
          <w:spacing w:val="-2"/>
          <w:sz w:val="20"/>
          <w:szCs w:val="20"/>
        </w:rPr>
        <w:t>2</w:t>
      </w:r>
      <w:r w:rsidR="00695FDE">
        <w:rPr>
          <w:color w:val="000000"/>
          <w:spacing w:val="-2"/>
          <w:sz w:val="20"/>
          <w:szCs w:val="20"/>
        </w:rPr>
        <w:t>:</w:t>
      </w:r>
      <w:r w:rsidR="00695FDE">
        <w:t xml:space="preserve"> </w:t>
      </w:r>
      <w:r w:rsidR="00617412" w:rsidRPr="00617412">
        <w:rPr>
          <w:color w:val="000000"/>
          <w:spacing w:val="-2"/>
          <w:sz w:val="20"/>
          <w:szCs w:val="20"/>
        </w:rPr>
        <w:t>Servei d’accés a Internet centralitzat</w:t>
      </w:r>
      <w:r w:rsidR="00695FDE">
        <w:rPr>
          <w:color w:val="000000"/>
          <w:spacing w:val="-2"/>
          <w:sz w:val="20"/>
          <w:szCs w:val="20"/>
        </w:rPr>
        <w:t xml:space="preserve">, </w:t>
      </w:r>
      <w:r w:rsidRPr="00705ED5">
        <w:rPr>
          <w:color w:val="000000"/>
          <w:spacing w:val="-2"/>
          <w:sz w:val="20"/>
          <w:szCs w:val="20"/>
        </w:rPr>
        <w:t>concorre a aquest procediment i es compromet, en cas de ser seleccionada la seva oferta, a l’execució del contracte amb estricta subjecció al plec de clàusules administratives particulars, al plec de condicions tècniques particulars i la resta de documentació que forma part de la licitació.</w:t>
      </w:r>
    </w:p>
    <w:p w14:paraId="6CAA739F" w14:textId="77777777" w:rsidR="00F271EB" w:rsidRPr="00705ED5" w:rsidRDefault="00F271EB" w:rsidP="00F271EB">
      <w:pPr>
        <w:pStyle w:val="Senseespaiat"/>
        <w:rPr>
          <w:color w:val="000000"/>
          <w:spacing w:val="-2"/>
          <w:sz w:val="20"/>
          <w:szCs w:val="20"/>
        </w:rPr>
      </w:pPr>
      <w:r w:rsidRPr="00705ED5">
        <w:rPr>
          <w:color w:val="000000"/>
          <w:spacing w:val="-2"/>
          <w:sz w:val="20"/>
          <w:szCs w:val="20"/>
        </w:rPr>
        <w:t xml:space="preserve"> </w:t>
      </w:r>
    </w:p>
    <w:p w14:paraId="62227AD1" w14:textId="52F6B20D" w:rsidR="00F271EB" w:rsidRPr="00705ED5" w:rsidRDefault="00F271EB" w:rsidP="00F271EB">
      <w:pPr>
        <w:pStyle w:val="Senseespaiat"/>
        <w:rPr>
          <w:color w:val="000000"/>
          <w:spacing w:val="-2"/>
          <w:sz w:val="20"/>
          <w:szCs w:val="20"/>
        </w:rPr>
      </w:pPr>
      <w:r w:rsidRPr="00705ED5">
        <w:rPr>
          <w:color w:val="000000"/>
          <w:spacing w:val="-2"/>
          <w:sz w:val="20"/>
          <w:szCs w:val="20"/>
        </w:rPr>
        <w:t>En relació als criteris d’adjudicació avaluables mitjançant l’aplicació de fórmules que preveu el Plec de clàusules administratives particulars fa constar que l’oferta presentada es desglossa conforme el</w:t>
      </w:r>
      <w:r w:rsidR="00617412">
        <w:rPr>
          <w:color w:val="000000"/>
          <w:spacing w:val="-2"/>
          <w:sz w:val="20"/>
          <w:szCs w:val="20"/>
        </w:rPr>
        <w:t>s</w:t>
      </w:r>
      <w:r w:rsidRPr="00705ED5">
        <w:rPr>
          <w:color w:val="000000"/>
          <w:spacing w:val="-2"/>
          <w:sz w:val="20"/>
          <w:szCs w:val="20"/>
        </w:rPr>
        <w:t xml:space="preserve"> documents addicionals que tot seguit s’indiquen, segons els </w:t>
      </w:r>
      <w:r w:rsidR="00F6311C">
        <w:rPr>
          <w:color w:val="000000"/>
          <w:spacing w:val="-2"/>
          <w:sz w:val="20"/>
          <w:szCs w:val="20"/>
        </w:rPr>
        <w:t>tres</w:t>
      </w:r>
      <w:r w:rsidRPr="00705ED5">
        <w:rPr>
          <w:color w:val="000000"/>
          <w:spacing w:val="-2"/>
          <w:sz w:val="20"/>
          <w:szCs w:val="20"/>
        </w:rPr>
        <w:t xml:space="preserve"> criteris que s’estableix en el Quadre resum:</w:t>
      </w:r>
    </w:p>
    <w:p w14:paraId="5FCE9F08" w14:textId="77777777" w:rsidR="00F271EB" w:rsidRPr="00705ED5" w:rsidRDefault="00F271EB" w:rsidP="00F271EB">
      <w:pPr>
        <w:pStyle w:val="Senseespaiat"/>
        <w:rPr>
          <w:color w:val="000000"/>
          <w:spacing w:val="-2"/>
          <w:sz w:val="20"/>
          <w:szCs w:val="20"/>
        </w:rPr>
      </w:pPr>
    </w:p>
    <w:p w14:paraId="14B7E075" w14:textId="1BAE8A94" w:rsidR="00F271EB" w:rsidRPr="00705ED5" w:rsidRDefault="00F271EB" w:rsidP="00F271EB">
      <w:pPr>
        <w:pStyle w:val="Senseespaiat"/>
        <w:rPr>
          <w:bCs/>
          <w:color w:val="000000"/>
          <w:sz w:val="20"/>
          <w:szCs w:val="20"/>
        </w:rPr>
      </w:pPr>
      <w:r w:rsidRPr="00705ED5">
        <w:rPr>
          <w:bCs/>
          <w:color w:val="000000"/>
          <w:sz w:val="20"/>
          <w:szCs w:val="20"/>
        </w:rPr>
        <w:t xml:space="preserve">Annex </w:t>
      </w:r>
      <w:r w:rsidR="00CF1428">
        <w:rPr>
          <w:bCs/>
          <w:color w:val="000000"/>
          <w:sz w:val="20"/>
          <w:szCs w:val="20"/>
        </w:rPr>
        <w:t>4</w:t>
      </w:r>
      <w:r w:rsidRPr="00705ED5">
        <w:rPr>
          <w:bCs/>
          <w:color w:val="000000"/>
          <w:sz w:val="20"/>
          <w:szCs w:val="20"/>
        </w:rPr>
        <w:t>.</w:t>
      </w:r>
      <w:r w:rsidR="00CF1428">
        <w:rPr>
          <w:bCs/>
          <w:color w:val="000000"/>
          <w:sz w:val="20"/>
          <w:szCs w:val="20"/>
        </w:rPr>
        <w:t>1.</w:t>
      </w:r>
      <w:r w:rsidRPr="00705ED5">
        <w:rPr>
          <w:bCs/>
          <w:color w:val="000000"/>
          <w:sz w:val="20"/>
          <w:szCs w:val="20"/>
        </w:rPr>
        <w:t>1 referit al Criteri 1 Oferta econòmica.</w:t>
      </w:r>
      <w:r w:rsidRPr="00705ED5">
        <w:rPr>
          <w:bCs/>
          <w:color w:val="000000"/>
          <w:sz w:val="20"/>
          <w:szCs w:val="20"/>
        </w:rPr>
        <w:tab/>
      </w:r>
      <w:r w:rsidRPr="00705ED5">
        <w:rPr>
          <w:bCs/>
          <w:color w:val="000000"/>
          <w:sz w:val="20"/>
          <w:szCs w:val="20"/>
        </w:rPr>
        <w:tab/>
        <w:t xml:space="preserve">          </w:t>
      </w:r>
    </w:p>
    <w:p w14:paraId="31344B1E" w14:textId="249CCD1A" w:rsidR="00F6311C" w:rsidRDefault="00F271EB" w:rsidP="00617412">
      <w:pPr>
        <w:pStyle w:val="Senseespaiat"/>
        <w:rPr>
          <w:bCs/>
          <w:color w:val="000000"/>
          <w:sz w:val="20"/>
          <w:szCs w:val="20"/>
        </w:rPr>
      </w:pPr>
      <w:r w:rsidRPr="00705ED5">
        <w:rPr>
          <w:bCs/>
          <w:color w:val="000000"/>
          <w:sz w:val="20"/>
          <w:szCs w:val="20"/>
        </w:rPr>
        <w:t xml:space="preserve">Annex </w:t>
      </w:r>
      <w:r w:rsidR="00CF1428">
        <w:rPr>
          <w:bCs/>
          <w:color w:val="000000"/>
          <w:sz w:val="20"/>
          <w:szCs w:val="20"/>
        </w:rPr>
        <w:t>4</w:t>
      </w:r>
      <w:r w:rsidRPr="00705ED5">
        <w:rPr>
          <w:bCs/>
          <w:color w:val="000000"/>
          <w:sz w:val="20"/>
          <w:szCs w:val="20"/>
        </w:rPr>
        <w:t>.2</w:t>
      </w:r>
      <w:r w:rsidR="00CF1428">
        <w:rPr>
          <w:bCs/>
          <w:color w:val="000000"/>
          <w:sz w:val="20"/>
          <w:szCs w:val="20"/>
        </w:rPr>
        <w:t>.2</w:t>
      </w:r>
      <w:r w:rsidRPr="00705ED5">
        <w:rPr>
          <w:bCs/>
          <w:color w:val="000000"/>
          <w:sz w:val="20"/>
          <w:szCs w:val="20"/>
        </w:rPr>
        <w:t xml:space="preserve"> referit al Criteri </w:t>
      </w:r>
      <w:r w:rsidRPr="00017D2D">
        <w:rPr>
          <w:bCs/>
          <w:color w:val="000000"/>
          <w:sz w:val="20"/>
          <w:szCs w:val="20"/>
        </w:rPr>
        <w:t xml:space="preserve">2 </w:t>
      </w:r>
      <w:r w:rsidR="00F6311C">
        <w:rPr>
          <w:bCs/>
          <w:color w:val="000000"/>
          <w:sz w:val="20"/>
          <w:szCs w:val="20"/>
        </w:rPr>
        <w:t>Elements addicionals.</w:t>
      </w:r>
    </w:p>
    <w:p w14:paraId="65F85F8C" w14:textId="3C602EDF" w:rsidR="00F271EB" w:rsidRPr="00705ED5" w:rsidRDefault="00F6311C" w:rsidP="00617412">
      <w:pPr>
        <w:pStyle w:val="Senseespaiat"/>
        <w:rPr>
          <w:color w:val="000000"/>
          <w:spacing w:val="-2"/>
          <w:sz w:val="20"/>
          <w:szCs w:val="20"/>
        </w:rPr>
      </w:pPr>
      <w:r>
        <w:rPr>
          <w:color w:val="000000"/>
          <w:sz w:val="20"/>
          <w:szCs w:val="20"/>
        </w:rPr>
        <w:t xml:space="preserve">Annex </w:t>
      </w:r>
      <w:r w:rsidR="00CF1428">
        <w:rPr>
          <w:color w:val="000000"/>
          <w:sz w:val="20"/>
          <w:szCs w:val="20"/>
        </w:rPr>
        <w:t>4.2</w:t>
      </w:r>
      <w:r>
        <w:rPr>
          <w:color w:val="000000"/>
          <w:sz w:val="20"/>
          <w:szCs w:val="20"/>
        </w:rPr>
        <w:t xml:space="preserve">.3 referit al Criteri 3 </w:t>
      </w:r>
      <w:r w:rsidR="00617412">
        <w:rPr>
          <w:color w:val="000000"/>
          <w:sz w:val="20"/>
          <w:szCs w:val="20"/>
        </w:rPr>
        <w:t xml:space="preserve">Accessos </w:t>
      </w:r>
      <w:r w:rsidR="005F042A">
        <w:rPr>
          <w:color w:val="000000"/>
          <w:sz w:val="20"/>
          <w:szCs w:val="20"/>
        </w:rPr>
        <w:t>de</w:t>
      </w:r>
      <w:r w:rsidR="00617412">
        <w:rPr>
          <w:color w:val="000000"/>
          <w:sz w:val="20"/>
          <w:szCs w:val="20"/>
        </w:rPr>
        <w:t xml:space="preserve"> i navegació centralitzada</w:t>
      </w:r>
      <w:r>
        <w:rPr>
          <w:color w:val="000000"/>
          <w:sz w:val="20"/>
          <w:szCs w:val="20"/>
        </w:rPr>
        <w:t>.</w:t>
      </w:r>
    </w:p>
    <w:p w14:paraId="04765DEC" w14:textId="77777777" w:rsidR="00F271EB" w:rsidRPr="00705ED5" w:rsidRDefault="00F271EB" w:rsidP="00F271EB">
      <w:pPr>
        <w:pStyle w:val="Senseespaiat"/>
        <w:rPr>
          <w:color w:val="000000"/>
          <w:spacing w:val="-2"/>
          <w:sz w:val="20"/>
          <w:szCs w:val="20"/>
        </w:rPr>
      </w:pPr>
    </w:p>
    <w:p w14:paraId="4BFDD4F7" w14:textId="77777777" w:rsidR="00F271EB" w:rsidRPr="00705ED5" w:rsidRDefault="00F271EB" w:rsidP="00F271EB">
      <w:pPr>
        <w:pStyle w:val="Senseespaiat"/>
        <w:rPr>
          <w:color w:val="000000"/>
          <w:spacing w:val="-2"/>
          <w:sz w:val="20"/>
          <w:szCs w:val="20"/>
        </w:rPr>
      </w:pPr>
    </w:p>
    <w:p w14:paraId="63DFE457" w14:textId="77777777" w:rsidR="00F271EB" w:rsidRPr="00705ED5" w:rsidRDefault="00F271EB" w:rsidP="00F271EB">
      <w:pPr>
        <w:pStyle w:val="Senseespaiat"/>
        <w:rPr>
          <w:spacing w:val="-2"/>
          <w:sz w:val="20"/>
          <w:szCs w:val="20"/>
        </w:rPr>
      </w:pPr>
      <w:r w:rsidRPr="00705ED5">
        <w:rPr>
          <w:spacing w:val="-2"/>
          <w:sz w:val="20"/>
          <w:szCs w:val="20"/>
        </w:rPr>
        <w:tab/>
      </w:r>
      <w:r w:rsidRPr="00705ED5">
        <w:rPr>
          <w:spacing w:val="-2"/>
          <w:sz w:val="20"/>
          <w:szCs w:val="20"/>
        </w:rPr>
        <w:tab/>
        <w:t>, a data de signatura electrònica</w:t>
      </w:r>
    </w:p>
    <w:p w14:paraId="1F47CAEE" w14:textId="77777777" w:rsidR="00F271EB" w:rsidRPr="00705ED5" w:rsidRDefault="00F271EB" w:rsidP="00F271EB">
      <w:pPr>
        <w:pStyle w:val="Senseespaiat"/>
        <w:rPr>
          <w:b/>
          <w:spacing w:val="-2"/>
          <w:sz w:val="20"/>
          <w:szCs w:val="20"/>
        </w:rPr>
      </w:pPr>
    </w:p>
    <w:p w14:paraId="2040C077" w14:textId="77777777" w:rsidR="00F271EB" w:rsidRPr="00705ED5" w:rsidRDefault="00F271EB" w:rsidP="00F271EB">
      <w:pPr>
        <w:pStyle w:val="Senseespaiat"/>
        <w:rPr>
          <w:b/>
          <w:spacing w:val="-2"/>
          <w:sz w:val="20"/>
          <w:szCs w:val="20"/>
        </w:rPr>
      </w:pPr>
    </w:p>
    <w:p w14:paraId="6F244AF4" w14:textId="77777777" w:rsidR="00F271EB" w:rsidRPr="00705ED5" w:rsidRDefault="00F271EB" w:rsidP="00F271EB">
      <w:pPr>
        <w:pStyle w:val="Senseespaiat"/>
        <w:rPr>
          <w:b/>
          <w:spacing w:val="-2"/>
          <w:sz w:val="20"/>
          <w:szCs w:val="20"/>
        </w:rPr>
      </w:pPr>
    </w:p>
    <w:p w14:paraId="5E5C558B" w14:textId="77777777" w:rsidR="00F271EB" w:rsidRPr="00705ED5" w:rsidRDefault="00F271EB" w:rsidP="00F271EB">
      <w:pPr>
        <w:pStyle w:val="Senseespaiat"/>
        <w:rPr>
          <w:b/>
          <w:spacing w:val="-2"/>
          <w:sz w:val="20"/>
          <w:szCs w:val="20"/>
        </w:rPr>
      </w:pPr>
    </w:p>
    <w:p w14:paraId="174AACB6" w14:textId="77777777" w:rsidR="00F271EB" w:rsidRPr="00705ED5" w:rsidRDefault="00F271EB" w:rsidP="00F271EB">
      <w:pPr>
        <w:pStyle w:val="Senseespaiat"/>
        <w:rPr>
          <w:b/>
          <w:spacing w:val="-2"/>
          <w:sz w:val="20"/>
          <w:szCs w:val="20"/>
        </w:rPr>
      </w:pPr>
      <w:r w:rsidRPr="00705ED5">
        <w:rPr>
          <w:b/>
          <w:spacing w:val="-2"/>
          <w:sz w:val="20"/>
          <w:szCs w:val="20"/>
        </w:rPr>
        <w:t xml:space="preserve">Signat, </w:t>
      </w:r>
    </w:p>
    <w:p w14:paraId="26D07538" w14:textId="77777777" w:rsidR="00F271EB" w:rsidRPr="006B1AF2" w:rsidRDefault="00F271EB" w:rsidP="00F271EB">
      <w:pPr>
        <w:pStyle w:val="Senseespaiat"/>
        <w:rPr>
          <w:color w:val="000000"/>
          <w:spacing w:val="-2"/>
        </w:rPr>
      </w:pPr>
    </w:p>
    <w:p w14:paraId="262DBA8A" w14:textId="57EDA16D" w:rsidR="00F271EB" w:rsidRPr="006B1AF2" w:rsidRDefault="00F271EB" w:rsidP="00F271EB">
      <w:pPr>
        <w:pStyle w:val="Ttol1"/>
      </w:pPr>
      <w:r w:rsidRPr="006B1AF2">
        <w:rPr>
          <w:color w:val="000000"/>
          <w:sz w:val="20"/>
        </w:rPr>
        <w:br w:type="page"/>
      </w:r>
      <w:r w:rsidRPr="006B1AF2">
        <w:lastRenderedPageBreak/>
        <w:t xml:space="preserve">ANNEX  </w:t>
      </w:r>
      <w:r w:rsidR="00CF1428">
        <w:t>4</w:t>
      </w:r>
      <w:r w:rsidRPr="006B1AF2">
        <w:t>.1</w:t>
      </w:r>
      <w:r w:rsidR="00CF1428">
        <w:t>.2</w:t>
      </w:r>
    </w:p>
    <w:p w14:paraId="435A07C4" w14:textId="77777777" w:rsidR="00F271EB" w:rsidRPr="006B1AF2" w:rsidRDefault="00F271EB" w:rsidP="00F271EB">
      <w:pPr>
        <w:rPr>
          <w:rFonts w:cs="Arial"/>
          <w:b/>
          <w:color w:val="000000"/>
          <w:spacing w:val="-2"/>
          <w:sz w:val="20"/>
          <w:u w:val="single"/>
        </w:rPr>
      </w:pPr>
    </w:p>
    <w:p w14:paraId="6FE8B68D" w14:textId="77777777" w:rsidR="00F271EB" w:rsidRPr="006B1AF2" w:rsidRDefault="00F271EB" w:rsidP="00F271EB">
      <w:pPr>
        <w:rPr>
          <w:rFonts w:cs="Arial"/>
          <w:color w:val="000000"/>
          <w:spacing w:val="-2"/>
          <w:sz w:val="20"/>
        </w:rPr>
      </w:pPr>
    </w:p>
    <w:p w14:paraId="7E052456" w14:textId="1348D080" w:rsidR="00F271EB" w:rsidRPr="006B1AF2" w:rsidRDefault="00F271EB" w:rsidP="00F271EB">
      <w:pPr>
        <w:rPr>
          <w:b/>
        </w:rPr>
      </w:pPr>
      <w:r w:rsidRPr="006B1AF2">
        <w:rPr>
          <w:b/>
        </w:rPr>
        <w:t>Criteri 1: Oferta Econòmica</w:t>
      </w:r>
    </w:p>
    <w:p w14:paraId="6B737BDD" w14:textId="77777777" w:rsidR="00F271EB" w:rsidRPr="006B1AF2" w:rsidRDefault="00F271EB" w:rsidP="00F271EB">
      <w:pPr>
        <w:rPr>
          <w:b/>
        </w:rPr>
      </w:pPr>
    </w:p>
    <w:p w14:paraId="1102DC2E" w14:textId="1680886C" w:rsidR="00F271EB" w:rsidRPr="006B1AF2" w:rsidRDefault="00F271EB" w:rsidP="00F271EB">
      <w:pPr>
        <w:autoSpaceDE w:val="0"/>
        <w:autoSpaceDN w:val="0"/>
        <w:adjustRightInd w:val="0"/>
        <w:rPr>
          <w:rFonts w:cs="Arial"/>
          <w:sz w:val="20"/>
          <w:szCs w:val="22"/>
        </w:rPr>
      </w:pPr>
      <w:r w:rsidRPr="006B1AF2">
        <w:rPr>
          <w:rFonts w:cs="Arial"/>
          <w:sz w:val="20"/>
          <w:szCs w:val="22"/>
        </w:rPr>
        <w:t>En/na</w:t>
      </w:r>
      <w:r w:rsidRPr="006B1AF2">
        <w:rPr>
          <w:rFonts w:cs="Arial"/>
          <w:sz w:val="20"/>
          <w:szCs w:val="22"/>
        </w:rPr>
        <w:tab/>
      </w:r>
      <w:r w:rsidRPr="006B1AF2">
        <w:rPr>
          <w:rFonts w:cs="Arial"/>
          <w:sz w:val="20"/>
          <w:szCs w:val="22"/>
        </w:rPr>
        <w:tab/>
        <w:t>, amb NIF</w:t>
      </w:r>
      <w:r w:rsidRPr="006B1AF2">
        <w:rPr>
          <w:rFonts w:cs="Arial"/>
          <w:sz w:val="20"/>
          <w:szCs w:val="22"/>
        </w:rPr>
        <w:tab/>
        <w:t xml:space="preserve">, en qualitat de </w:t>
      </w:r>
      <w:r w:rsidRPr="006B1AF2">
        <w:rPr>
          <w:rFonts w:cs="Arial"/>
          <w:sz w:val="20"/>
          <w:szCs w:val="22"/>
        </w:rPr>
        <w:tab/>
      </w:r>
      <w:r w:rsidRPr="006B1AF2">
        <w:rPr>
          <w:rFonts w:cs="Arial"/>
          <w:sz w:val="20"/>
          <w:szCs w:val="22"/>
        </w:rPr>
        <w:tab/>
        <w:t>i en nom i representació de la societat</w:t>
      </w:r>
      <w:r w:rsidRPr="006B1AF2">
        <w:rPr>
          <w:rFonts w:cs="Arial"/>
          <w:sz w:val="20"/>
          <w:szCs w:val="22"/>
        </w:rPr>
        <w:tab/>
      </w:r>
      <w:r w:rsidRPr="006B1AF2">
        <w:rPr>
          <w:rFonts w:cs="Arial"/>
          <w:sz w:val="20"/>
          <w:szCs w:val="22"/>
        </w:rPr>
        <w:tab/>
      </w:r>
      <w:r w:rsidRPr="006B1AF2">
        <w:rPr>
          <w:rFonts w:cs="Arial"/>
          <w:sz w:val="20"/>
          <w:szCs w:val="22"/>
        </w:rPr>
        <w:tab/>
        <w:t xml:space="preserve">, amb CIF </w:t>
      </w:r>
      <w:r w:rsidR="00F31627">
        <w:rPr>
          <w:rFonts w:cs="Arial"/>
          <w:sz w:val="20"/>
          <w:szCs w:val="22"/>
        </w:rPr>
        <w:t xml:space="preserve">          </w:t>
      </w:r>
      <w:r w:rsidRPr="006B1AF2">
        <w:rPr>
          <w:rFonts w:cs="Arial"/>
          <w:sz w:val="20"/>
          <w:szCs w:val="22"/>
        </w:rPr>
        <w:t xml:space="preserve">i domiciliada a </w:t>
      </w:r>
      <w:r w:rsidRPr="006B1AF2">
        <w:rPr>
          <w:rFonts w:cs="Arial"/>
          <w:sz w:val="20"/>
          <w:szCs w:val="22"/>
        </w:rPr>
        <w:tab/>
      </w:r>
      <w:r w:rsidRPr="006B1AF2">
        <w:rPr>
          <w:rFonts w:cs="Arial"/>
          <w:sz w:val="20"/>
          <w:szCs w:val="22"/>
        </w:rPr>
        <w:tab/>
      </w:r>
      <w:r w:rsidRPr="006B1AF2">
        <w:rPr>
          <w:rFonts w:cs="Arial"/>
          <w:sz w:val="20"/>
          <w:szCs w:val="22"/>
        </w:rPr>
        <w:tab/>
      </w:r>
      <w:r w:rsidRPr="006B1AF2">
        <w:rPr>
          <w:rFonts w:cs="Arial"/>
          <w:sz w:val="20"/>
          <w:szCs w:val="22"/>
        </w:rPr>
        <w:tab/>
        <w:t>, segons escriptura pública autoritzada davant Notari/a</w:t>
      </w:r>
      <w:r w:rsidRPr="006B1AF2">
        <w:rPr>
          <w:rFonts w:cs="Arial"/>
          <w:sz w:val="20"/>
          <w:szCs w:val="22"/>
        </w:rPr>
        <w:tab/>
      </w:r>
      <w:r w:rsidRPr="006B1AF2">
        <w:rPr>
          <w:rFonts w:cs="Arial"/>
          <w:sz w:val="20"/>
          <w:szCs w:val="22"/>
        </w:rPr>
        <w:tab/>
        <w:t xml:space="preserve">, en data </w:t>
      </w:r>
      <w:r w:rsidRPr="006B1AF2">
        <w:rPr>
          <w:rFonts w:cs="Arial"/>
          <w:sz w:val="20"/>
          <w:szCs w:val="22"/>
        </w:rPr>
        <w:tab/>
        <w:t>i amb número de protocol</w:t>
      </w:r>
      <w:r w:rsidRPr="006B1AF2">
        <w:rPr>
          <w:rFonts w:cs="Arial"/>
          <w:sz w:val="20"/>
          <w:szCs w:val="22"/>
        </w:rPr>
        <w:tab/>
        <w:t>.</w:t>
      </w:r>
    </w:p>
    <w:p w14:paraId="35C5840A" w14:textId="040EEFBD" w:rsidR="00F271EB" w:rsidRPr="00705ED5" w:rsidRDefault="00F271EB" w:rsidP="00F271EB">
      <w:pPr>
        <w:rPr>
          <w:rFonts w:cs="Arial"/>
          <w:color w:val="000000" w:themeColor="text1"/>
          <w:sz w:val="20"/>
          <w:szCs w:val="22"/>
        </w:rPr>
      </w:pPr>
      <w:r w:rsidRPr="006B1AF2">
        <w:rPr>
          <w:rFonts w:cs="Arial"/>
          <w:sz w:val="20"/>
          <w:szCs w:val="22"/>
        </w:rPr>
        <w:t xml:space="preserve">, assabentat de l’anunci publicat en data </w:t>
      </w:r>
      <w:r w:rsidRPr="006B1AF2">
        <w:rPr>
          <w:rFonts w:cs="Arial"/>
          <w:sz w:val="20"/>
          <w:szCs w:val="22"/>
        </w:rPr>
        <w:tab/>
      </w:r>
      <w:r w:rsidRPr="006B1AF2">
        <w:rPr>
          <w:rFonts w:cs="Arial"/>
          <w:sz w:val="20"/>
          <w:szCs w:val="22"/>
        </w:rPr>
        <w:tab/>
        <w:t xml:space="preserve">en el perfil del contractant de l’Ajuntament de Sabadell i de les condicions i requisits que s’exigeixen per a l’adjudicació del contracte anomenat </w:t>
      </w:r>
      <w:r w:rsidRPr="006B1AF2">
        <w:rPr>
          <w:b/>
          <w:color w:val="000000"/>
          <w:sz w:val="20"/>
          <w:szCs w:val="20"/>
        </w:rPr>
        <w:t xml:space="preserve">Serveis de comunicacions </w:t>
      </w:r>
      <w:r w:rsidR="00EE6285">
        <w:rPr>
          <w:b/>
          <w:color w:val="000000"/>
          <w:sz w:val="20"/>
          <w:szCs w:val="20"/>
        </w:rPr>
        <w:t>de veu fixa i dades</w:t>
      </w:r>
      <w:r w:rsidRPr="006B1AF2">
        <w:rPr>
          <w:b/>
          <w:color w:val="000000"/>
          <w:sz w:val="20"/>
          <w:szCs w:val="20"/>
        </w:rPr>
        <w:t xml:space="preserve"> de l’Ajuntament de Sabadell</w:t>
      </w:r>
      <w:r w:rsidRPr="006B1AF2">
        <w:rPr>
          <w:rFonts w:cs="Arial"/>
          <w:sz w:val="20"/>
          <w:szCs w:val="22"/>
        </w:rPr>
        <w:t xml:space="preserve"> </w:t>
      </w:r>
      <w:r w:rsidRPr="006B1AF2">
        <w:rPr>
          <w:rFonts w:cs="Arial"/>
          <w:color w:val="000000"/>
          <w:spacing w:val="-2"/>
          <w:sz w:val="20"/>
        </w:rPr>
        <w:t xml:space="preserve">concorre a aquest procediment i es compromet, en cas de ser seleccionada la seva oferta, a l’execució del </w:t>
      </w:r>
      <w:r w:rsidR="00EE6285">
        <w:rPr>
          <w:rFonts w:cs="Arial"/>
          <w:color w:val="000000"/>
          <w:spacing w:val="-2"/>
          <w:sz w:val="20"/>
        </w:rPr>
        <w:t xml:space="preserve">Lot </w:t>
      </w:r>
      <w:r w:rsidR="00617412">
        <w:rPr>
          <w:rFonts w:cs="Arial"/>
          <w:color w:val="000000"/>
          <w:spacing w:val="-2"/>
          <w:sz w:val="20"/>
        </w:rPr>
        <w:t>2</w:t>
      </w:r>
      <w:r w:rsidR="00EE6285">
        <w:rPr>
          <w:rFonts w:cs="Arial"/>
          <w:color w:val="000000"/>
          <w:spacing w:val="-2"/>
          <w:sz w:val="20"/>
        </w:rPr>
        <w:t xml:space="preserve"> del present </w:t>
      </w:r>
      <w:r w:rsidRPr="006B1AF2">
        <w:rPr>
          <w:rFonts w:cs="Arial"/>
          <w:color w:val="000000"/>
          <w:spacing w:val="-2"/>
          <w:sz w:val="20"/>
        </w:rPr>
        <w:t>contracte amb estricta subjecció al</w:t>
      </w:r>
      <w:r w:rsidR="00DE606A">
        <w:rPr>
          <w:rFonts w:cs="Arial"/>
          <w:color w:val="000000"/>
          <w:spacing w:val="-2"/>
          <w:sz w:val="20"/>
        </w:rPr>
        <w:t xml:space="preserve"> </w:t>
      </w:r>
      <w:r w:rsidR="00DE606A" w:rsidRPr="00705ED5">
        <w:rPr>
          <w:rFonts w:cs="Arial"/>
          <w:color w:val="000000" w:themeColor="text1"/>
          <w:spacing w:val="-2"/>
          <w:sz w:val="20"/>
        </w:rPr>
        <w:t xml:space="preserve">Plec de prescripcions tècnica </w:t>
      </w:r>
      <w:r w:rsidRPr="00705ED5">
        <w:rPr>
          <w:rFonts w:cs="Arial"/>
          <w:color w:val="000000" w:themeColor="text1"/>
          <w:spacing w:val="-2"/>
          <w:sz w:val="20"/>
        </w:rPr>
        <w:t>redactat a l’efecte i al plec de clàusules administratives particulars</w:t>
      </w:r>
      <w:r w:rsidR="00DE606A" w:rsidRPr="00705ED5">
        <w:rPr>
          <w:rFonts w:cs="Arial"/>
          <w:color w:val="000000" w:themeColor="text1"/>
          <w:spacing w:val="-2"/>
          <w:sz w:val="20"/>
        </w:rPr>
        <w:t xml:space="preserve"> amb els seus annexos</w:t>
      </w:r>
      <w:r w:rsidRPr="00705ED5">
        <w:rPr>
          <w:rFonts w:cs="Arial"/>
          <w:color w:val="000000" w:themeColor="text1"/>
          <w:spacing w:val="-2"/>
          <w:sz w:val="20"/>
        </w:rPr>
        <w:t>.</w:t>
      </w:r>
    </w:p>
    <w:p w14:paraId="7567375D" w14:textId="77777777" w:rsidR="00F271EB" w:rsidRPr="00705ED5" w:rsidRDefault="00F271EB" w:rsidP="00F271EB">
      <w:pPr>
        <w:rPr>
          <w:rFonts w:cs="Arial"/>
          <w:color w:val="000000" w:themeColor="text1"/>
          <w:spacing w:val="-2"/>
          <w:sz w:val="20"/>
        </w:rPr>
      </w:pPr>
      <w:r w:rsidRPr="00705ED5">
        <w:rPr>
          <w:rFonts w:cs="Arial"/>
          <w:color w:val="000000" w:themeColor="text1"/>
          <w:spacing w:val="-2"/>
          <w:sz w:val="20"/>
        </w:rPr>
        <w:t xml:space="preserve"> </w:t>
      </w:r>
    </w:p>
    <w:p w14:paraId="13C3F2C8" w14:textId="21879A08" w:rsidR="00F271EB" w:rsidRPr="00705ED5" w:rsidRDefault="00F271EB" w:rsidP="00F271EB">
      <w:pPr>
        <w:rPr>
          <w:rFonts w:cs="Arial"/>
          <w:color w:val="000000" w:themeColor="text1"/>
          <w:spacing w:val="-2"/>
          <w:sz w:val="20"/>
        </w:rPr>
      </w:pPr>
      <w:r w:rsidRPr="00705ED5">
        <w:rPr>
          <w:rFonts w:cs="Arial"/>
          <w:color w:val="000000" w:themeColor="text1"/>
          <w:spacing w:val="-2"/>
          <w:sz w:val="20"/>
        </w:rPr>
        <w:t xml:space="preserve">En relació </w:t>
      </w:r>
      <w:r w:rsidR="00DE606A" w:rsidRPr="00705ED5">
        <w:rPr>
          <w:rFonts w:cs="Arial"/>
          <w:color w:val="000000" w:themeColor="text1"/>
          <w:spacing w:val="-2"/>
          <w:sz w:val="20"/>
        </w:rPr>
        <w:t xml:space="preserve">al  criteri 1 </w:t>
      </w:r>
      <w:r w:rsidRPr="00705ED5">
        <w:rPr>
          <w:rFonts w:cs="Arial"/>
          <w:color w:val="000000" w:themeColor="text1"/>
          <w:spacing w:val="-2"/>
          <w:sz w:val="20"/>
        </w:rPr>
        <w:t xml:space="preserve">d’adjudicació </w:t>
      </w:r>
      <w:r w:rsidR="00DE606A" w:rsidRPr="00705ED5">
        <w:rPr>
          <w:rFonts w:cs="Arial"/>
          <w:color w:val="000000" w:themeColor="text1"/>
          <w:spacing w:val="-2"/>
          <w:sz w:val="20"/>
        </w:rPr>
        <w:t>“oferta econòmic</w:t>
      </w:r>
      <w:r w:rsidRPr="00705ED5">
        <w:rPr>
          <w:rFonts w:cs="Arial"/>
          <w:color w:val="000000" w:themeColor="text1"/>
          <w:spacing w:val="-2"/>
          <w:sz w:val="20"/>
        </w:rPr>
        <w:t>a</w:t>
      </w:r>
      <w:r w:rsidR="00DE606A" w:rsidRPr="00705ED5">
        <w:rPr>
          <w:rFonts w:cs="Arial"/>
          <w:color w:val="000000" w:themeColor="text1"/>
          <w:spacing w:val="-2"/>
          <w:sz w:val="20"/>
        </w:rPr>
        <w:t xml:space="preserve">” avaluable </w:t>
      </w:r>
      <w:r w:rsidRPr="00705ED5">
        <w:rPr>
          <w:rFonts w:cs="Arial"/>
          <w:color w:val="000000" w:themeColor="text1"/>
          <w:spacing w:val="-2"/>
          <w:sz w:val="20"/>
        </w:rPr>
        <w:t>mitjançant l’aplicació de fórmul</w:t>
      </w:r>
      <w:r w:rsidR="00DE606A" w:rsidRPr="00705ED5">
        <w:rPr>
          <w:rFonts w:cs="Arial"/>
          <w:color w:val="000000" w:themeColor="text1"/>
          <w:spacing w:val="-2"/>
          <w:sz w:val="20"/>
        </w:rPr>
        <w:t xml:space="preserve">a </w:t>
      </w:r>
      <w:r w:rsidRPr="00705ED5">
        <w:rPr>
          <w:rFonts w:cs="Arial"/>
          <w:color w:val="000000" w:themeColor="text1"/>
          <w:spacing w:val="-2"/>
          <w:sz w:val="20"/>
        </w:rPr>
        <w:t xml:space="preserve">que preveu el </w:t>
      </w:r>
      <w:r w:rsidR="00DE606A" w:rsidRPr="00705ED5">
        <w:rPr>
          <w:rFonts w:cs="Arial"/>
          <w:color w:val="000000" w:themeColor="text1"/>
          <w:spacing w:val="-2"/>
          <w:sz w:val="20"/>
        </w:rPr>
        <w:t xml:space="preserve">Quadre resum del </w:t>
      </w:r>
      <w:r w:rsidRPr="00705ED5">
        <w:rPr>
          <w:rFonts w:cs="Arial"/>
          <w:color w:val="000000" w:themeColor="text1"/>
          <w:spacing w:val="-2"/>
          <w:sz w:val="20"/>
        </w:rPr>
        <w:t>Plec de clàusules administratives particulars</w:t>
      </w:r>
      <w:r w:rsidR="00DE606A" w:rsidRPr="00705ED5">
        <w:rPr>
          <w:rFonts w:cs="Arial"/>
          <w:color w:val="000000" w:themeColor="text1"/>
          <w:spacing w:val="-2"/>
          <w:sz w:val="20"/>
        </w:rPr>
        <w:t>,</w:t>
      </w:r>
      <w:r w:rsidRPr="00705ED5">
        <w:rPr>
          <w:rFonts w:cs="Arial"/>
          <w:color w:val="000000" w:themeColor="text1"/>
          <w:spacing w:val="-2"/>
          <w:sz w:val="20"/>
        </w:rPr>
        <w:t xml:space="preserve"> fa constar que l’oferta presentada es desglossa conforme el següent:</w:t>
      </w:r>
    </w:p>
    <w:p w14:paraId="5F45B035" w14:textId="77777777" w:rsidR="00F271EB" w:rsidRPr="006B1AF2" w:rsidRDefault="00F271EB" w:rsidP="00F271EB">
      <w:pPr>
        <w:rPr>
          <w:rFonts w:cs="Arial"/>
          <w:color w:val="000000"/>
          <w:spacing w:val="-2"/>
          <w:sz w:val="20"/>
        </w:rPr>
      </w:pPr>
    </w:p>
    <w:p w14:paraId="0F85BB05" w14:textId="77777777" w:rsidR="00F271EB" w:rsidRPr="006B1AF2" w:rsidRDefault="00F271EB" w:rsidP="00F271EB">
      <w:pPr>
        <w:rPr>
          <w:rFonts w:cs="Arial"/>
          <w:color w:val="000000"/>
          <w:spacing w:val="-2"/>
          <w:sz w:val="20"/>
        </w:rPr>
      </w:pPr>
      <w:r w:rsidRPr="006B1AF2">
        <w:rPr>
          <w:rFonts w:cs="Arial"/>
          <w:color w:val="000000"/>
          <w:spacing w:val="-2"/>
          <w:sz w:val="20"/>
        </w:rPr>
        <w:t>Import base:</w:t>
      </w:r>
    </w:p>
    <w:p w14:paraId="18647986" w14:textId="77777777" w:rsidR="00F271EB" w:rsidRPr="006B1AF2" w:rsidRDefault="00F271EB" w:rsidP="00F271EB">
      <w:pPr>
        <w:rPr>
          <w:rFonts w:cs="Arial"/>
          <w:color w:val="000000"/>
          <w:spacing w:val="-2"/>
          <w:sz w:val="20"/>
        </w:rPr>
      </w:pPr>
      <w:r w:rsidRPr="006B1AF2">
        <w:rPr>
          <w:rFonts w:cs="Arial"/>
          <w:color w:val="000000"/>
          <w:spacing w:val="-2"/>
          <w:sz w:val="20"/>
        </w:rPr>
        <w:t>Import IVA:</w:t>
      </w:r>
    </w:p>
    <w:p w14:paraId="6196C0D3" w14:textId="77777777" w:rsidR="00F271EB" w:rsidRPr="006B1AF2" w:rsidRDefault="00F271EB" w:rsidP="00F271EB">
      <w:pPr>
        <w:rPr>
          <w:rFonts w:cs="Arial"/>
          <w:color w:val="000000"/>
          <w:spacing w:val="-2"/>
          <w:sz w:val="20"/>
        </w:rPr>
      </w:pPr>
      <w:r w:rsidRPr="006B1AF2">
        <w:rPr>
          <w:rFonts w:cs="Arial"/>
          <w:color w:val="000000"/>
          <w:spacing w:val="-2"/>
          <w:sz w:val="20"/>
        </w:rPr>
        <w:t>Import total:</w:t>
      </w:r>
    </w:p>
    <w:p w14:paraId="6B798777" w14:textId="77777777" w:rsidR="00F271EB" w:rsidRPr="006B1AF2" w:rsidRDefault="00F271EB" w:rsidP="00F271EB">
      <w:pPr>
        <w:rPr>
          <w:rFonts w:cs="Arial"/>
          <w:color w:val="000000"/>
          <w:spacing w:val="-2"/>
          <w:sz w:val="20"/>
        </w:rPr>
      </w:pPr>
    </w:p>
    <w:p w14:paraId="304ECD2D" w14:textId="77777777" w:rsidR="00F271EB" w:rsidRPr="006B1AF2" w:rsidRDefault="00F271EB" w:rsidP="00F271EB">
      <w:pPr>
        <w:rPr>
          <w:rFonts w:cs="Arial"/>
          <w:color w:val="000000"/>
          <w:spacing w:val="-2"/>
          <w:sz w:val="20"/>
        </w:rPr>
      </w:pPr>
      <w:r w:rsidRPr="006B1AF2">
        <w:rPr>
          <w:rFonts w:cs="Arial"/>
          <w:color w:val="000000"/>
          <w:spacing w:val="-2"/>
          <w:sz w:val="20"/>
        </w:rPr>
        <w:t>L’import anterior (sense IVA) es desglossa segons les taules a continuació:</w:t>
      </w:r>
    </w:p>
    <w:p w14:paraId="237BA571" w14:textId="77777777" w:rsidR="00F271EB" w:rsidRPr="00EE6285" w:rsidRDefault="00F271EB" w:rsidP="00F271EB">
      <w:pPr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8"/>
        <w:gridCol w:w="814"/>
        <w:gridCol w:w="814"/>
        <w:gridCol w:w="812"/>
      </w:tblGrid>
      <w:tr w:rsidR="00617412" w:rsidRPr="005F042A" w14:paraId="6360BC8F" w14:textId="77777777" w:rsidTr="007A2320">
        <w:trPr>
          <w:trHeight w:val="870"/>
        </w:trPr>
        <w:tc>
          <w:tcPr>
            <w:tcW w:w="3630" w:type="pct"/>
            <w:shd w:val="clear" w:color="auto" w:fill="FFFFFF" w:themeFill="background1"/>
            <w:vAlign w:val="center"/>
            <w:hideMark/>
          </w:tcPr>
          <w:p w14:paraId="3B9C24C9" w14:textId="28495D28" w:rsidR="00617412" w:rsidRPr="007A2320" w:rsidRDefault="00617412" w:rsidP="0061741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ca-ES"/>
              </w:rPr>
            </w:pPr>
            <w:r w:rsidRPr="007A2320">
              <w:rPr>
                <w:rFonts w:ascii="Calibri" w:hAnsi="Calibri" w:cs="Calibri"/>
                <w:b/>
                <w:bCs/>
                <w:sz w:val="18"/>
                <w:szCs w:val="18"/>
                <w:lang w:eastAsia="ca-ES"/>
              </w:rPr>
              <w:t>Quotes d</w:t>
            </w:r>
            <w:r w:rsidR="00F31627" w:rsidRPr="007A2320">
              <w:rPr>
                <w:rFonts w:ascii="Calibri" w:hAnsi="Calibri" w:cs="Calibri"/>
                <w:b/>
                <w:bCs/>
                <w:sz w:val="18"/>
                <w:szCs w:val="18"/>
                <w:lang w:eastAsia="ca-ES"/>
              </w:rPr>
              <w:t>’accés a Internet</w:t>
            </w:r>
          </w:p>
        </w:tc>
        <w:tc>
          <w:tcPr>
            <w:tcW w:w="457" w:type="pct"/>
            <w:shd w:val="clear" w:color="auto" w:fill="FFFFFF" w:themeFill="background1"/>
            <w:vAlign w:val="center"/>
            <w:hideMark/>
          </w:tcPr>
          <w:p w14:paraId="703C073C" w14:textId="77777777" w:rsidR="00617412" w:rsidRPr="007A2320" w:rsidRDefault="00617412" w:rsidP="0061741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ca-ES"/>
              </w:rPr>
            </w:pPr>
            <w:r w:rsidRPr="007A2320">
              <w:rPr>
                <w:rFonts w:ascii="Calibri" w:hAnsi="Calibri" w:cs="Calibri"/>
                <w:b/>
                <w:bCs/>
                <w:sz w:val="18"/>
                <w:szCs w:val="18"/>
                <w:lang w:eastAsia="ca-ES"/>
              </w:rPr>
              <w:t>Unitats totals</w:t>
            </w:r>
          </w:p>
        </w:tc>
        <w:tc>
          <w:tcPr>
            <w:tcW w:w="457" w:type="pct"/>
            <w:shd w:val="clear" w:color="000000" w:fill="A6A6A6"/>
            <w:vAlign w:val="center"/>
            <w:hideMark/>
          </w:tcPr>
          <w:p w14:paraId="49EE8F4B" w14:textId="77777777" w:rsidR="00617412" w:rsidRPr="005F042A" w:rsidRDefault="00617412" w:rsidP="006174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ca-ES"/>
              </w:rPr>
            </w:pPr>
            <w:r w:rsidRPr="005F042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 xml:space="preserve"> Preu unitari (€/mes) </w:t>
            </w:r>
          </w:p>
        </w:tc>
        <w:tc>
          <w:tcPr>
            <w:tcW w:w="456" w:type="pct"/>
            <w:shd w:val="clear" w:color="000000" w:fill="A6A6A6"/>
            <w:vAlign w:val="center"/>
            <w:hideMark/>
          </w:tcPr>
          <w:p w14:paraId="5FFC0BE2" w14:textId="77777777" w:rsidR="00617412" w:rsidRPr="005F042A" w:rsidRDefault="00617412" w:rsidP="0061741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ca-ES"/>
              </w:rPr>
            </w:pPr>
            <w:r w:rsidRPr="005F042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ca-ES"/>
              </w:rPr>
              <w:t xml:space="preserve"> Preu total (€/mes) </w:t>
            </w:r>
          </w:p>
        </w:tc>
      </w:tr>
      <w:tr w:rsidR="00617412" w:rsidRPr="005F042A" w14:paraId="2301E81A" w14:textId="77777777" w:rsidTr="007A2320">
        <w:trPr>
          <w:trHeight w:val="500"/>
        </w:trPr>
        <w:tc>
          <w:tcPr>
            <w:tcW w:w="3630" w:type="pct"/>
            <w:shd w:val="clear" w:color="auto" w:fill="auto"/>
            <w:vAlign w:val="center"/>
            <w:hideMark/>
          </w:tcPr>
          <w:p w14:paraId="112EA387" w14:textId="77777777" w:rsidR="00617412" w:rsidRPr="005F042A" w:rsidRDefault="00617412" w:rsidP="00617412">
            <w:pPr>
              <w:jc w:val="left"/>
              <w:rPr>
                <w:rFonts w:cs="Arial"/>
                <w:sz w:val="18"/>
                <w:szCs w:val="18"/>
                <w:lang w:eastAsia="ca-ES"/>
              </w:rPr>
            </w:pPr>
            <w:r w:rsidRPr="005F042A">
              <w:rPr>
                <w:rFonts w:cs="Arial"/>
                <w:sz w:val="18"/>
                <w:szCs w:val="18"/>
                <w:lang w:eastAsia="ca-ES"/>
              </w:rPr>
              <w:t>Accés dedicat diversificat amb cabal d’Internet garantit de 500 Mbps (entre l’Ajuntament i Narcís Giralt) (operador principal)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54422E5" w14:textId="47EE9689" w:rsidR="00617412" w:rsidRPr="005F042A" w:rsidRDefault="002B2136" w:rsidP="00617412">
            <w:pPr>
              <w:jc w:val="center"/>
              <w:rPr>
                <w:rFonts w:cs="Arial"/>
                <w:sz w:val="18"/>
                <w:szCs w:val="18"/>
                <w:lang w:eastAsia="ca-ES"/>
              </w:rPr>
            </w:pPr>
            <w:r>
              <w:rPr>
                <w:rFonts w:cs="Arial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457" w:type="pct"/>
            <w:shd w:val="clear" w:color="auto" w:fill="F2F2F2" w:themeFill="background1" w:themeFillShade="F2"/>
            <w:noWrap/>
            <w:vAlign w:val="center"/>
            <w:hideMark/>
          </w:tcPr>
          <w:p w14:paraId="61FB9583" w14:textId="77777777" w:rsidR="00617412" w:rsidRPr="005F042A" w:rsidRDefault="00617412" w:rsidP="00617412">
            <w:pPr>
              <w:jc w:val="left"/>
              <w:rPr>
                <w:rFonts w:cs="Arial"/>
                <w:sz w:val="18"/>
                <w:szCs w:val="18"/>
                <w:lang w:eastAsia="ca-ES"/>
              </w:rPr>
            </w:pPr>
            <w:r w:rsidRPr="005F042A">
              <w:rPr>
                <w:rFonts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56" w:type="pct"/>
            <w:shd w:val="clear" w:color="auto" w:fill="F2F2F2" w:themeFill="background1" w:themeFillShade="F2"/>
            <w:noWrap/>
            <w:vAlign w:val="center"/>
            <w:hideMark/>
          </w:tcPr>
          <w:p w14:paraId="0BA3B921" w14:textId="77777777" w:rsidR="00617412" w:rsidRPr="005F042A" w:rsidRDefault="00617412" w:rsidP="00617412">
            <w:pPr>
              <w:jc w:val="left"/>
              <w:rPr>
                <w:rFonts w:cs="Arial"/>
                <w:sz w:val="18"/>
                <w:szCs w:val="18"/>
                <w:lang w:eastAsia="ca-ES"/>
              </w:rPr>
            </w:pPr>
            <w:r w:rsidRPr="005F042A">
              <w:rPr>
                <w:rFonts w:cs="Arial"/>
                <w:sz w:val="18"/>
                <w:szCs w:val="18"/>
                <w:lang w:eastAsia="ca-ES"/>
              </w:rPr>
              <w:t> </w:t>
            </w:r>
          </w:p>
        </w:tc>
      </w:tr>
      <w:tr w:rsidR="00617412" w:rsidRPr="005F042A" w14:paraId="579ACE8F" w14:textId="77777777" w:rsidTr="007A2320">
        <w:trPr>
          <w:trHeight w:val="250"/>
        </w:trPr>
        <w:tc>
          <w:tcPr>
            <w:tcW w:w="3630" w:type="pct"/>
            <w:shd w:val="clear" w:color="auto" w:fill="auto"/>
            <w:vAlign w:val="center"/>
            <w:hideMark/>
          </w:tcPr>
          <w:p w14:paraId="6D1889D9" w14:textId="77777777" w:rsidR="00617412" w:rsidRPr="005F042A" w:rsidRDefault="00617412" w:rsidP="00617412">
            <w:pPr>
              <w:jc w:val="left"/>
              <w:rPr>
                <w:rFonts w:cs="Arial"/>
                <w:sz w:val="18"/>
                <w:szCs w:val="18"/>
                <w:lang w:eastAsia="ca-ES"/>
              </w:rPr>
            </w:pPr>
            <w:r w:rsidRPr="005F042A">
              <w:rPr>
                <w:rFonts w:cs="Arial"/>
                <w:sz w:val="18"/>
                <w:szCs w:val="18"/>
                <w:lang w:eastAsia="ca-ES"/>
              </w:rPr>
              <w:t>Accés a Internet amb cabal garantit de 300 Mbps a Narcís Giralt (operador secundari)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616D2C10" w14:textId="77777777" w:rsidR="00617412" w:rsidRPr="005F042A" w:rsidRDefault="00617412" w:rsidP="00617412">
            <w:pPr>
              <w:jc w:val="center"/>
              <w:rPr>
                <w:rFonts w:cs="Arial"/>
                <w:sz w:val="18"/>
                <w:szCs w:val="18"/>
                <w:lang w:eastAsia="ca-ES"/>
              </w:rPr>
            </w:pPr>
            <w:r w:rsidRPr="005F042A">
              <w:rPr>
                <w:rFonts w:cs="Arial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457" w:type="pct"/>
            <w:shd w:val="clear" w:color="auto" w:fill="F2F2F2" w:themeFill="background1" w:themeFillShade="F2"/>
            <w:noWrap/>
            <w:vAlign w:val="center"/>
            <w:hideMark/>
          </w:tcPr>
          <w:p w14:paraId="344040BF" w14:textId="77777777" w:rsidR="00617412" w:rsidRPr="005F042A" w:rsidRDefault="00617412" w:rsidP="00617412">
            <w:pPr>
              <w:jc w:val="left"/>
              <w:rPr>
                <w:rFonts w:cs="Arial"/>
                <w:sz w:val="18"/>
                <w:szCs w:val="18"/>
                <w:lang w:eastAsia="ca-ES"/>
              </w:rPr>
            </w:pPr>
            <w:r w:rsidRPr="005F042A">
              <w:rPr>
                <w:rFonts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56" w:type="pct"/>
            <w:shd w:val="clear" w:color="auto" w:fill="F2F2F2" w:themeFill="background1" w:themeFillShade="F2"/>
            <w:noWrap/>
            <w:vAlign w:val="center"/>
            <w:hideMark/>
          </w:tcPr>
          <w:p w14:paraId="2000BE8C" w14:textId="77777777" w:rsidR="00617412" w:rsidRPr="005F042A" w:rsidRDefault="00617412" w:rsidP="00617412">
            <w:pPr>
              <w:jc w:val="left"/>
              <w:rPr>
                <w:rFonts w:cs="Arial"/>
                <w:sz w:val="18"/>
                <w:szCs w:val="18"/>
                <w:lang w:eastAsia="ca-ES"/>
              </w:rPr>
            </w:pPr>
            <w:r w:rsidRPr="005F042A">
              <w:rPr>
                <w:rFonts w:cs="Arial"/>
                <w:sz w:val="18"/>
                <w:szCs w:val="18"/>
                <w:lang w:eastAsia="ca-ES"/>
              </w:rPr>
              <w:t> </w:t>
            </w:r>
          </w:p>
        </w:tc>
      </w:tr>
      <w:tr w:rsidR="00617412" w:rsidRPr="005F042A" w14:paraId="784789DF" w14:textId="77777777" w:rsidTr="007A2320">
        <w:trPr>
          <w:trHeight w:val="250"/>
        </w:trPr>
        <w:tc>
          <w:tcPr>
            <w:tcW w:w="3630" w:type="pct"/>
            <w:shd w:val="clear" w:color="auto" w:fill="auto"/>
            <w:vAlign w:val="center"/>
            <w:hideMark/>
          </w:tcPr>
          <w:p w14:paraId="68F32BA6" w14:textId="77777777" w:rsidR="00617412" w:rsidRPr="005F042A" w:rsidRDefault="00617412" w:rsidP="00617412">
            <w:pPr>
              <w:jc w:val="left"/>
              <w:rPr>
                <w:rFonts w:cs="Arial"/>
                <w:sz w:val="18"/>
                <w:szCs w:val="18"/>
                <w:lang w:eastAsia="ca-ES"/>
              </w:rPr>
            </w:pPr>
            <w:r w:rsidRPr="005F042A">
              <w:rPr>
                <w:rFonts w:cs="Arial"/>
                <w:sz w:val="18"/>
                <w:szCs w:val="18"/>
                <w:lang w:eastAsia="ca-ES"/>
              </w:rPr>
              <w:t>Adreçament IP (256 adreces)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53DE6821" w14:textId="77777777" w:rsidR="00617412" w:rsidRPr="005F042A" w:rsidRDefault="00617412" w:rsidP="00617412">
            <w:pPr>
              <w:jc w:val="center"/>
              <w:rPr>
                <w:rFonts w:cs="Arial"/>
                <w:sz w:val="18"/>
                <w:szCs w:val="18"/>
                <w:lang w:eastAsia="ca-ES"/>
              </w:rPr>
            </w:pPr>
            <w:r w:rsidRPr="005F042A">
              <w:rPr>
                <w:rFonts w:cs="Arial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457" w:type="pct"/>
            <w:shd w:val="clear" w:color="auto" w:fill="F2F2F2" w:themeFill="background1" w:themeFillShade="F2"/>
            <w:noWrap/>
            <w:vAlign w:val="center"/>
            <w:hideMark/>
          </w:tcPr>
          <w:p w14:paraId="164D9840" w14:textId="77777777" w:rsidR="00617412" w:rsidRPr="005F042A" w:rsidRDefault="00617412" w:rsidP="00617412">
            <w:pPr>
              <w:jc w:val="center"/>
              <w:rPr>
                <w:rFonts w:cs="Arial"/>
                <w:sz w:val="18"/>
                <w:szCs w:val="18"/>
                <w:lang w:eastAsia="ca-ES"/>
              </w:rPr>
            </w:pPr>
            <w:r w:rsidRPr="005F042A">
              <w:rPr>
                <w:rFonts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56" w:type="pct"/>
            <w:shd w:val="clear" w:color="auto" w:fill="F2F2F2" w:themeFill="background1" w:themeFillShade="F2"/>
            <w:noWrap/>
            <w:vAlign w:val="center"/>
            <w:hideMark/>
          </w:tcPr>
          <w:p w14:paraId="39D6960F" w14:textId="77777777" w:rsidR="00617412" w:rsidRPr="005F042A" w:rsidRDefault="00617412" w:rsidP="00617412">
            <w:pPr>
              <w:jc w:val="center"/>
              <w:rPr>
                <w:rFonts w:cs="Arial"/>
                <w:sz w:val="18"/>
                <w:szCs w:val="18"/>
                <w:lang w:eastAsia="ca-ES"/>
              </w:rPr>
            </w:pPr>
            <w:r w:rsidRPr="005F042A">
              <w:rPr>
                <w:rFonts w:cs="Arial"/>
                <w:sz w:val="18"/>
                <w:szCs w:val="18"/>
                <w:lang w:eastAsia="ca-ES"/>
              </w:rPr>
              <w:t> </w:t>
            </w:r>
          </w:p>
        </w:tc>
      </w:tr>
      <w:tr w:rsidR="00617412" w:rsidRPr="005F042A" w14:paraId="3B1B4E81" w14:textId="77777777" w:rsidTr="007A2320">
        <w:trPr>
          <w:trHeight w:val="250"/>
        </w:trPr>
        <w:tc>
          <w:tcPr>
            <w:tcW w:w="3630" w:type="pct"/>
            <w:shd w:val="clear" w:color="auto" w:fill="auto"/>
            <w:vAlign w:val="center"/>
            <w:hideMark/>
          </w:tcPr>
          <w:p w14:paraId="6B813AB4" w14:textId="77777777" w:rsidR="00617412" w:rsidRPr="005F042A" w:rsidRDefault="00617412" w:rsidP="00617412">
            <w:pPr>
              <w:jc w:val="left"/>
              <w:rPr>
                <w:rFonts w:cs="Arial"/>
                <w:sz w:val="18"/>
                <w:szCs w:val="18"/>
                <w:lang w:eastAsia="ca-ES"/>
              </w:rPr>
            </w:pPr>
            <w:r w:rsidRPr="005F042A">
              <w:rPr>
                <w:rFonts w:cs="Arial"/>
                <w:sz w:val="18"/>
                <w:szCs w:val="18"/>
                <w:lang w:eastAsia="ca-ES"/>
              </w:rPr>
              <w:t>Adreçament IP (64 adreces) pels accessos de l’operador secundari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57B5ED9F" w14:textId="77777777" w:rsidR="00617412" w:rsidRPr="005F042A" w:rsidRDefault="00617412" w:rsidP="00617412">
            <w:pPr>
              <w:jc w:val="center"/>
              <w:rPr>
                <w:rFonts w:cs="Arial"/>
                <w:sz w:val="18"/>
                <w:szCs w:val="18"/>
                <w:lang w:eastAsia="ca-ES"/>
              </w:rPr>
            </w:pPr>
            <w:r w:rsidRPr="005F042A">
              <w:rPr>
                <w:rFonts w:cs="Arial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457" w:type="pct"/>
            <w:shd w:val="clear" w:color="auto" w:fill="F2F2F2" w:themeFill="background1" w:themeFillShade="F2"/>
            <w:noWrap/>
            <w:vAlign w:val="center"/>
            <w:hideMark/>
          </w:tcPr>
          <w:p w14:paraId="7969CBB1" w14:textId="77777777" w:rsidR="00617412" w:rsidRPr="005F042A" w:rsidRDefault="00617412" w:rsidP="00617412">
            <w:pPr>
              <w:jc w:val="center"/>
              <w:rPr>
                <w:rFonts w:cs="Arial"/>
                <w:sz w:val="18"/>
                <w:szCs w:val="18"/>
                <w:lang w:eastAsia="ca-ES"/>
              </w:rPr>
            </w:pPr>
            <w:r w:rsidRPr="005F042A">
              <w:rPr>
                <w:rFonts w:cs="Arial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456" w:type="pct"/>
            <w:shd w:val="clear" w:color="auto" w:fill="F2F2F2" w:themeFill="background1" w:themeFillShade="F2"/>
            <w:noWrap/>
            <w:vAlign w:val="center"/>
            <w:hideMark/>
          </w:tcPr>
          <w:p w14:paraId="6AB84AD2" w14:textId="77777777" w:rsidR="00617412" w:rsidRPr="005F042A" w:rsidRDefault="00617412" w:rsidP="00617412">
            <w:pPr>
              <w:jc w:val="center"/>
              <w:rPr>
                <w:rFonts w:cs="Arial"/>
                <w:sz w:val="18"/>
                <w:szCs w:val="18"/>
                <w:lang w:eastAsia="ca-ES"/>
              </w:rPr>
            </w:pPr>
            <w:r w:rsidRPr="005F042A">
              <w:rPr>
                <w:rFonts w:cs="Arial"/>
                <w:sz w:val="18"/>
                <w:szCs w:val="18"/>
                <w:lang w:eastAsia="ca-ES"/>
              </w:rPr>
              <w:t> </w:t>
            </w:r>
          </w:p>
        </w:tc>
      </w:tr>
      <w:tr w:rsidR="00617412" w:rsidRPr="005F042A" w14:paraId="020F8752" w14:textId="77777777" w:rsidTr="00A07B72">
        <w:trPr>
          <w:trHeight w:val="250"/>
        </w:trPr>
        <w:tc>
          <w:tcPr>
            <w:tcW w:w="3630" w:type="pct"/>
            <w:shd w:val="clear" w:color="auto" w:fill="auto"/>
            <w:vAlign w:val="center"/>
          </w:tcPr>
          <w:p w14:paraId="6489C2C9" w14:textId="4EAD1227" w:rsidR="00617412" w:rsidRPr="005F042A" w:rsidRDefault="00617412" w:rsidP="00617412">
            <w:pPr>
              <w:jc w:val="left"/>
              <w:rPr>
                <w:rFonts w:cs="Arial"/>
                <w:b/>
                <w:bCs/>
                <w:sz w:val="18"/>
                <w:szCs w:val="18"/>
                <w:lang w:eastAsia="ca-ES"/>
              </w:rPr>
            </w:pPr>
            <w:r w:rsidRPr="005F042A">
              <w:rPr>
                <w:rFonts w:cs="Arial"/>
                <w:b/>
                <w:bCs/>
                <w:sz w:val="18"/>
                <w:szCs w:val="18"/>
                <w:lang w:eastAsia="ca-ES"/>
              </w:rPr>
              <w:t xml:space="preserve">A.TOTAL </w:t>
            </w:r>
            <w:r w:rsidR="00F31627">
              <w:rPr>
                <w:rFonts w:cs="Arial"/>
                <w:b/>
                <w:bCs/>
                <w:sz w:val="18"/>
                <w:szCs w:val="18"/>
                <w:lang w:eastAsia="ca-ES"/>
              </w:rPr>
              <w:t>ACCÉS A INTERNET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40283A5" w14:textId="77777777" w:rsidR="00617412" w:rsidRPr="005F042A" w:rsidRDefault="00617412" w:rsidP="00617412">
            <w:pPr>
              <w:jc w:val="center"/>
              <w:rPr>
                <w:rFonts w:cs="Arial"/>
                <w:sz w:val="18"/>
                <w:szCs w:val="18"/>
                <w:lang w:eastAsia="ca-ES"/>
              </w:rPr>
            </w:pP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3F8116A0" w14:textId="77777777" w:rsidR="00617412" w:rsidRPr="005F042A" w:rsidRDefault="00617412" w:rsidP="00617412">
            <w:pPr>
              <w:jc w:val="center"/>
              <w:rPr>
                <w:rFonts w:cs="Arial"/>
                <w:sz w:val="18"/>
                <w:szCs w:val="18"/>
                <w:lang w:eastAsia="ca-ES"/>
              </w:rPr>
            </w:pP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64DCF1E" w14:textId="77777777" w:rsidR="00617412" w:rsidRPr="005F042A" w:rsidRDefault="00617412" w:rsidP="00617412">
            <w:pPr>
              <w:jc w:val="center"/>
              <w:rPr>
                <w:rFonts w:cs="Arial"/>
                <w:sz w:val="18"/>
                <w:szCs w:val="18"/>
                <w:lang w:eastAsia="ca-ES"/>
              </w:rPr>
            </w:pPr>
          </w:p>
        </w:tc>
      </w:tr>
    </w:tbl>
    <w:p w14:paraId="722581E2" w14:textId="77777777" w:rsidR="009C4921" w:rsidRPr="005F042A" w:rsidRDefault="009C4921" w:rsidP="00F271EB">
      <w:pPr>
        <w:rPr>
          <w:rFonts w:cs="Arial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2"/>
        <w:gridCol w:w="2706"/>
      </w:tblGrid>
      <w:tr w:rsidR="00F271EB" w:rsidRPr="005F042A" w14:paraId="5A1BF586" w14:textId="77777777" w:rsidTr="007A2320">
        <w:trPr>
          <w:trHeight w:val="300"/>
        </w:trPr>
        <w:tc>
          <w:tcPr>
            <w:tcW w:w="3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25868901" w14:textId="77777777" w:rsidR="00F271EB" w:rsidRPr="007A2320" w:rsidRDefault="00F271EB" w:rsidP="0070778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2320">
              <w:rPr>
                <w:rFonts w:cs="Arial"/>
                <w:b/>
                <w:bCs/>
                <w:sz w:val="18"/>
                <w:szCs w:val="18"/>
              </w:rPr>
              <w:t>Total costos</w:t>
            </w:r>
          </w:p>
        </w:tc>
        <w:tc>
          <w:tcPr>
            <w:tcW w:w="151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3542AE0D" w14:textId="77777777" w:rsidR="00F271EB" w:rsidRPr="007A2320" w:rsidRDefault="00F271EB" w:rsidP="0070778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A2320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F271EB" w:rsidRPr="005F042A" w14:paraId="198B4535" w14:textId="77777777" w:rsidTr="007A2320">
        <w:trPr>
          <w:trHeight w:val="300"/>
        </w:trPr>
        <w:tc>
          <w:tcPr>
            <w:tcW w:w="3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A6F67C" w14:textId="55ED131D" w:rsidR="00F271EB" w:rsidRPr="005F042A" w:rsidRDefault="00617412" w:rsidP="0070778D">
            <w:pPr>
              <w:rPr>
                <w:rFonts w:cs="Arial"/>
                <w:color w:val="000000"/>
                <w:sz w:val="18"/>
                <w:szCs w:val="18"/>
              </w:rPr>
            </w:pPr>
            <w:r w:rsidRPr="005F042A">
              <w:rPr>
                <w:rFonts w:cs="Arial"/>
                <w:color w:val="000000"/>
                <w:sz w:val="18"/>
                <w:szCs w:val="18"/>
              </w:rPr>
              <w:t>B</w:t>
            </w:r>
            <w:r w:rsidR="00F271EB" w:rsidRPr="005F042A">
              <w:rPr>
                <w:rFonts w:cs="Arial"/>
                <w:color w:val="000000"/>
                <w:sz w:val="18"/>
                <w:szCs w:val="18"/>
              </w:rPr>
              <w:t>. Total mensual (</w:t>
            </w:r>
            <w:r w:rsidRPr="005F042A">
              <w:rPr>
                <w:rFonts w:cs="Arial"/>
                <w:color w:val="000000"/>
                <w:sz w:val="18"/>
                <w:szCs w:val="18"/>
              </w:rPr>
              <w:t>A</w:t>
            </w:r>
            <w:r w:rsidR="00F271EB" w:rsidRPr="005F042A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1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4AE6F7" w14:textId="77777777" w:rsidR="00F271EB" w:rsidRPr="005F042A" w:rsidRDefault="00F271EB" w:rsidP="0070778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F042A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E606A" w:rsidRPr="005F042A" w14:paraId="775F92A0" w14:textId="77777777" w:rsidTr="007A2320">
        <w:trPr>
          <w:trHeight w:val="300"/>
        </w:trPr>
        <w:tc>
          <w:tcPr>
            <w:tcW w:w="3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CD5F2BF" w14:textId="2A3EBA8C" w:rsidR="00DE606A" w:rsidRPr="005F042A" w:rsidRDefault="00DE606A" w:rsidP="0070778D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5F042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Total proposta econòmica (24 mesos) IVA no inclòs (</w:t>
            </w:r>
            <w:r w:rsidR="00617412" w:rsidRPr="005F042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B</w:t>
            </w:r>
            <w:r w:rsidRPr="005F042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x 24)</w:t>
            </w:r>
          </w:p>
        </w:tc>
        <w:tc>
          <w:tcPr>
            <w:tcW w:w="151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</w:tcPr>
          <w:p w14:paraId="46CE6759" w14:textId="77777777" w:rsidR="00DE606A" w:rsidRPr="005F042A" w:rsidRDefault="00DE606A" w:rsidP="0070778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606A" w:rsidRPr="005F042A" w14:paraId="7D312167" w14:textId="77777777" w:rsidTr="007A2320">
        <w:trPr>
          <w:trHeight w:val="300"/>
        </w:trPr>
        <w:tc>
          <w:tcPr>
            <w:tcW w:w="3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98DEC58" w14:textId="60DB5DEF" w:rsidR="00DE606A" w:rsidRPr="005F042A" w:rsidRDefault="00DE606A" w:rsidP="0070778D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5F042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IVA del 21 % sobre Total proposta econòmica a 24 mesos</w:t>
            </w:r>
          </w:p>
        </w:tc>
        <w:tc>
          <w:tcPr>
            <w:tcW w:w="151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</w:tcPr>
          <w:p w14:paraId="34B0C98E" w14:textId="77777777" w:rsidR="00DE606A" w:rsidRPr="005F042A" w:rsidRDefault="00DE606A" w:rsidP="0070778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606A" w:rsidRPr="005F042A" w14:paraId="513EDD98" w14:textId="77777777" w:rsidTr="007A2320">
        <w:trPr>
          <w:trHeight w:val="300"/>
        </w:trPr>
        <w:tc>
          <w:tcPr>
            <w:tcW w:w="3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23D16D7" w14:textId="285C28FA" w:rsidR="00DE606A" w:rsidRPr="005F042A" w:rsidRDefault="00DE606A" w:rsidP="0070778D">
            <w:p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5F042A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Total Oferta econòmica amb l’IVA inclòs del 21%</w:t>
            </w:r>
          </w:p>
        </w:tc>
        <w:tc>
          <w:tcPr>
            <w:tcW w:w="151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</w:tcPr>
          <w:p w14:paraId="5CA21650" w14:textId="77777777" w:rsidR="00DE606A" w:rsidRPr="005F042A" w:rsidRDefault="00DE606A" w:rsidP="0070778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D0021F8" w14:textId="77777777" w:rsidR="00F271EB" w:rsidRPr="00EE6285" w:rsidRDefault="00F271EB" w:rsidP="00F271EB">
      <w:pPr>
        <w:rPr>
          <w:rFonts w:cs="Arial"/>
          <w:sz w:val="20"/>
          <w:szCs w:val="20"/>
        </w:rPr>
      </w:pPr>
    </w:p>
    <w:p w14:paraId="0330DA6D" w14:textId="16F42B65" w:rsidR="00F271EB" w:rsidRPr="00705ED5" w:rsidRDefault="00DE606A" w:rsidP="00F271EB">
      <w:pPr>
        <w:rPr>
          <w:rFonts w:cs="Arial"/>
          <w:color w:val="000000" w:themeColor="text1"/>
          <w:spacing w:val="-2"/>
          <w:sz w:val="20"/>
          <w:szCs w:val="20"/>
        </w:rPr>
      </w:pPr>
      <w:r w:rsidRPr="00705ED5">
        <w:rPr>
          <w:rFonts w:cs="Arial"/>
          <w:color w:val="000000" w:themeColor="text1"/>
          <w:spacing w:val="-2"/>
          <w:sz w:val="20"/>
          <w:szCs w:val="20"/>
        </w:rPr>
        <w:t xml:space="preserve">Com a licitador, en cas de resultar adjudicatari,  </w:t>
      </w:r>
      <w:r w:rsidR="00F271EB" w:rsidRPr="00705ED5">
        <w:rPr>
          <w:rFonts w:cs="Arial"/>
          <w:color w:val="000000" w:themeColor="text1"/>
          <w:spacing w:val="-2"/>
          <w:sz w:val="20"/>
          <w:szCs w:val="20"/>
        </w:rPr>
        <w:t xml:space="preserve">es compromet a mantenir durant tota la vigència del contracte els preus indicats a les columnes </w:t>
      </w:r>
      <w:r w:rsidR="00F31627">
        <w:rPr>
          <w:rFonts w:cs="Arial"/>
          <w:color w:val="000000" w:themeColor="text1"/>
          <w:spacing w:val="-2"/>
          <w:sz w:val="20"/>
          <w:szCs w:val="20"/>
        </w:rPr>
        <w:t xml:space="preserve">“Preu unitari” i </w:t>
      </w:r>
      <w:r w:rsidR="00F271EB" w:rsidRPr="00705ED5">
        <w:rPr>
          <w:rFonts w:cs="Arial"/>
          <w:color w:val="000000" w:themeColor="text1"/>
          <w:spacing w:val="-2"/>
          <w:sz w:val="20"/>
          <w:szCs w:val="20"/>
        </w:rPr>
        <w:t>“</w:t>
      </w:r>
      <w:r w:rsidR="00A1240A">
        <w:rPr>
          <w:rFonts w:cs="Arial"/>
          <w:color w:val="000000" w:themeColor="text1"/>
          <w:spacing w:val="-2"/>
          <w:sz w:val="20"/>
          <w:szCs w:val="20"/>
        </w:rPr>
        <w:t>Preu total</w:t>
      </w:r>
      <w:r w:rsidR="00F271EB" w:rsidRPr="00705ED5">
        <w:rPr>
          <w:rFonts w:cs="Arial"/>
          <w:color w:val="000000" w:themeColor="text1"/>
          <w:spacing w:val="-2"/>
          <w:sz w:val="20"/>
          <w:szCs w:val="20"/>
        </w:rPr>
        <w:t>”</w:t>
      </w:r>
      <w:r w:rsidR="00F31627">
        <w:rPr>
          <w:rFonts w:cs="Arial"/>
          <w:color w:val="000000" w:themeColor="text1"/>
          <w:spacing w:val="-2"/>
          <w:sz w:val="20"/>
          <w:szCs w:val="20"/>
        </w:rPr>
        <w:t>.</w:t>
      </w:r>
    </w:p>
    <w:p w14:paraId="043835C2" w14:textId="77777777" w:rsidR="00F271EB" w:rsidRPr="00705ED5" w:rsidRDefault="00F271EB" w:rsidP="00F271EB">
      <w:pPr>
        <w:rPr>
          <w:rFonts w:cs="Arial"/>
          <w:color w:val="000000" w:themeColor="text1"/>
          <w:spacing w:val="-2"/>
          <w:sz w:val="20"/>
          <w:szCs w:val="20"/>
        </w:rPr>
      </w:pPr>
    </w:p>
    <w:p w14:paraId="352ED292" w14:textId="2E25BCD8" w:rsidR="00DE606A" w:rsidRPr="00705ED5" w:rsidRDefault="00DE606A" w:rsidP="00F271EB">
      <w:pPr>
        <w:rPr>
          <w:rFonts w:cs="Arial"/>
          <w:color w:val="000000" w:themeColor="text1"/>
          <w:sz w:val="20"/>
          <w:szCs w:val="20"/>
        </w:rPr>
      </w:pPr>
      <w:r w:rsidRPr="00705ED5">
        <w:rPr>
          <w:rFonts w:cs="Arial"/>
          <w:color w:val="000000" w:themeColor="text1"/>
          <w:sz w:val="20"/>
          <w:szCs w:val="20"/>
        </w:rPr>
        <w:t xml:space="preserve">Així mateix, assumeix que el fet de no completar algunes de les columnes abans descrites comporta que l’import ofert per l’Ajuntament </w:t>
      </w:r>
      <w:r w:rsidR="00977EC1" w:rsidRPr="00705ED5">
        <w:rPr>
          <w:rFonts w:cs="Arial"/>
          <w:color w:val="000000" w:themeColor="text1"/>
          <w:sz w:val="20"/>
          <w:szCs w:val="20"/>
        </w:rPr>
        <w:t>respecte d</w:t>
      </w:r>
      <w:r w:rsidRPr="00705ED5">
        <w:rPr>
          <w:rFonts w:cs="Arial"/>
          <w:color w:val="000000" w:themeColor="text1"/>
          <w:sz w:val="20"/>
          <w:szCs w:val="20"/>
        </w:rPr>
        <w:t>el respectiu preu unitari o cost serà de 0,00€/mes i, per tant, el seu subministrament no li suposarà cap cost associat.</w:t>
      </w:r>
    </w:p>
    <w:p w14:paraId="075E18F0" w14:textId="6BD6DDD0" w:rsidR="00F271EB" w:rsidRPr="00DE606A" w:rsidRDefault="00F271EB" w:rsidP="00F271EB">
      <w:pPr>
        <w:rPr>
          <w:rFonts w:cs="Arial"/>
          <w:strike/>
          <w:color w:val="000000"/>
          <w:spacing w:val="-2"/>
          <w:sz w:val="20"/>
        </w:rPr>
      </w:pPr>
    </w:p>
    <w:p w14:paraId="3FEF6E21" w14:textId="77777777" w:rsidR="00F271EB" w:rsidRPr="006B1AF2" w:rsidRDefault="00F271EB" w:rsidP="00F271EB">
      <w:pPr>
        <w:rPr>
          <w:rFonts w:cs="Arial"/>
          <w:color w:val="000000"/>
          <w:spacing w:val="-2"/>
          <w:sz w:val="20"/>
          <w:highlight w:val="cyan"/>
        </w:rPr>
      </w:pPr>
    </w:p>
    <w:p w14:paraId="5F60B1A4" w14:textId="54502EB9" w:rsidR="00F271EB" w:rsidRPr="006B1AF2" w:rsidRDefault="00F271EB" w:rsidP="00670A14">
      <w:pPr>
        <w:pStyle w:val="Ttol1"/>
      </w:pPr>
      <w:r w:rsidRPr="006B1AF2">
        <w:br w:type="page"/>
      </w:r>
      <w:r w:rsidRPr="006B1AF2">
        <w:lastRenderedPageBreak/>
        <w:t xml:space="preserve">ANNEX  </w:t>
      </w:r>
      <w:r w:rsidR="00CF1428">
        <w:t>4</w:t>
      </w:r>
      <w:r w:rsidRPr="006B1AF2">
        <w:t>.2</w:t>
      </w:r>
      <w:r w:rsidR="00CF1428">
        <w:t>.2</w:t>
      </w:r>
    </w:p>
    <w:p w14:paraId="1B8BCFA0" w14:textId="77777777" w:rsidR="00F271EB" w:rsidRPr="006B1AF2" w:rsidRDefault="00F271EB" w:rsidP="00F271EB">
      <w:pPr>
        <w:rPr>
          <w:rFonts w:cs="Arial"/>
          <w:b/>
          <w:color w:val="000000"/>
          <w:spacing w:val="-2"/>
          <w:sz w:val="20"/>
          <w:u w:val="single"/>
        </w:rPr>
      </w:pPr>
    </w:p>
    <w:p w14:paraId="5DA8E7F1" w14:textId="77777777" w:rsidR="00F271EB" w:rsidRPr="006B1AF2" w:rsidRDefault="00F271EB" w:rsidP="00F271EB">
      <w:pPr>
        <w:rPr>
          <w:rFonts w:cs="Arial"/>
          <w:color w:val="000000"/>
          <w:spacing w:val="-2"/>
          <w:sz w:val="20"/>
        </w:rPr>
      </w:pPr>
    </w:p>
    <w:p w14:paraId="553FC309" w14:textId="4D2CC422" w:rsidR="00F6311C" w:rsidRPr="00AB6319" w:rsidRDefault="00F271EB" w:rsidP="00A1240A">
      <w:pPr>
        <w:rPr>
          <w:b/>
        </w:rPr>
      </w:pPr>
      <w:r w:rsidRPr="006B1AF2">
        <w:rPr>
          <w:b/>
        </w:rPr>
        <w:t xml:space="preserve">Criteri 2: </w:t>
      </w:r>
      <w:r w:rsidR="00F6311C" w:rsidRPr="00AB6319">
        <w:rPr>
          <w:b/>
        </w:rPr>
        <w:t xml:space="preserve">Elements </w:t>
      </w:r>
      <w:r w:rsidR="00066ECE" w:rsidRPr="00AB6319">
        <w:rPr>
          <w:b/>
        </w:rPr>
        <w:t>d’ampliació dels existents</w:t>
      </w:r>
    </w:p>
    <w:p w14:paraId="570FF803" w14:textId="77777777" w:rsidR="00F6311C" w:rsidRDefault="00F6311C" w:rsidP="00A1240A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9"/>
        <w:gridCol w:w="1844"/>
        <w:gridCol w:w="751"/>
        <w:gridCol w:w="904"/>
      </w:tblGrid>
      <w:tr w:rsidR="00B333EE" w:rsidRPr="00B333EE" w14:paraId="04B00630" w14:textId="77777777" w:rsidTr="007A2320">
        <w:trPr>
          <w:trHeight w:val="520"/>
        </w:trPr>
        <w:tc>
          <w:tcPr>
            <w:tcW w:w="30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604C1E72" w14:textId="6A9DE720" w:rsidR="00B333EE" w:rsidRPr="007A2320" w:rsidRDefault="00B333EE" w:rsidP="00066ECE">
            <w:pPr>
              <w:jc w:val="center"/>
              <w:rPr>
                <w:rFonts w:cs="Arial"/>
                <w:b/>
                <w:bCs/>
                <w:sz w:val="18"/>
                <w:szCs w:val="18"/>
                <w:lang w:eastAsia="ca-ES"/>
              </w:rPr>
            </w:pPr>
            <w:r w:rsidRPr="007A2320">
              <w:rPr>
                <w:rFonts w:cs="Arial"/>
                <w:b/>
                <w:bCs/>
                <w:sz w:val="18"/>
                <w:szCs w:val="18"/>
                <w:lang w:eastAsia="ca-ES"/>
              </w:rPr>
              <w:t xml:space="preserve">Servei (Element </w:t>
            </w:r>
            <w:r w:rsidR="00066ECE" w:rsidRPr="007A2320">
              <w:rPr>
                <w:rFonts w:cs="Arial"/>
                <w:b/>
                <w:bCs/>
                <w:sz w:val="18"/>
                <w:szCs w:val="18"/>
                <w:lang w:eastAsia="ca-ES"/>
              </w:rPr>
              <w:t xml:space="preserve">addicionals i/o </w:t>
            </w:r>
            <w:r w:rsidR="00066ECE" w:rsidRPr="00AB6319">
              <w:rPr>
                <w:rFonts w:cs="Arial"/>
                <w:b/>
                <w:bCs/>
                <w:sz w:val="18"/>
                <w:szCs w:val="18"/>
                <w:lang w:eastAsia="ca-ES"/>
              </w:rPr>
              <w:t>d’</w:t>
            </w:r>
            <w:r w:rsidRPr="00AB6319">
              <w:rPr>
                <w:rFonts w:cs="Arial"/>
                <w:b/>
                <w:bCs/>
                <w:sz w:val="18"/>
                <w:szCs w:val="18"/>
                <w:lang w:eastAsia="ca-ES"/>
              </w:rPr>
              <w:t>ampliació</w:t>
            </w:r>
            <w:r w:rsidR="007A2320" w:rsidRPr="00AB6319">
              <w:rPr>
                <w:rFonts w:cs="Arial"/>
                <w:b/>
                <w:bCs/>
                <w:sz w:val="18"/>
                <w:szCs w:val="18"/>
                <w:lang w:eastAsia="ca-ES"/>
              </w:rPr>
              <w:t xml:space="preserve"> dels existents</w:t>
            </w:r>
            <w:r w:rsidRPr="00AB6319">
              <w:rPr>
                <w:rFonts w:cs="Arial"/>
                <w:b/>
                <w:bCs/>
                <w:sz w:val="18"/>
                <w:szCs w:val="18"/>
                <w:lang w:eastAsia="ca-ES"/>
              </w:rPr>
              <w:t>)</w:t>
            </w:r>
          </w:p>
        </w:tc>
        <w:tc>
          <w:tcPr>
            <w:tcW w:w="10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6338D853" w14:textId="77777777" w:rsidR="00B333EE" w:rsidRPr="007A2320" w:rsidRDefault="00B333EE" w:rsidP="00B333EE">
            <w:pPr>
              <w:jc w:val="center"/>
              <w:rPr>
                <w:rFonts w:cs="Arial"/>
                <w:b/>
                <w:bCs/>
                <w:sz w:val="18"/>
                <w:szCs w:val="18"/>
                <w:lang w:eastAsia="ca-ES"/>
              </w:rPr>
            </w:pPr>
            <w:r w:rsidRPr="007A2320">
              <w:rPr>
                <w:rFonts w:cs="Arial"/>
                <w:b/>
                <w:bCs/>
                <w:sz w:val="18"/>
                <w:szCs w:val="18"/>
                <w:lang w:eastAsia="ca-ES"/>
              </w:rPr>
              <w:t>Ponderació Valoració (Pi)</w:t>
            </w:r>
          </w:p>
        </w:tc>
        <w:tc>
          <w:tcPr>
            <w:tcW w:w="33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  <w:hideMark/>
          </w:tcPr>
          <w:p w14:paraId="16CFCAFC" w14:textId="04D651FC" w:rsidR="00B333EE" w:rsidRPr="007A2320" w:rsidRDefault="00B333EE" w:rsidP="00B333EE">
            <w:pPr>
              <w:jc w:val="center"/>
              <w:rPr>
                <w:rFonts w:cs="Arial"/>
                <w:b/>
                <w:bCs/>
                <w:sz w:val="18"/>
                <w:szCs w:val="18"/>
                <w:lang w:eastAsia="ca-ES"/>
              </w:rPr>
            </w:pPr>
            <w:r w:rsidRPr="007A2320">
              <w:rPr>
                <w:rFonts w:cs="Arial"/>
                <w:b/>
                <w:bCs/>
                <w:sz w:val="18"/>
                <w:szCs w:val="18"/>
                <w:lang w:eastAsia="ca-ES"/>
              </w:rPr>
              <w:t>Unitats</w:t>
            </w:r>
          </w:p>
        </w:tc>
        <w:tc>
          <w:tcPr>
            <w:tcW w:w="5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6A6A6"/>
            <w:vAlign w:val="center"/>
            <w:hideMark/>
          </w:tcPr>
          <w:p w14:paraId="3CAAEF6D" w14:textId="77777777" w:rsidR="00B333EE" w:rsidRPr="00B333EE" w:rsidRDefault="00B333EE" w:rsidP="00B333EE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b/>
                <w:bCs/>
                <w:color w:val="FFFFFF"/>
                <w:sz w:val="18"/>
                <w:szCs w:val="18"/>
                <w:lang w:eastAsia="ca-ES"/>
              </w:rPr>
              <w:t>Cost (€/mes)</w:t>
            </w:r>
          </w:p>
        </w:tc>
      </w:tr>
      <w:tr w:rsidR="00B333EE" w:rsidRPr="00B333EE" w14:paraId="2077FD5F" w14:textId="77777777" w:rsidTr="007A2320">
        <w:trPr>
          <w:trHeight w:val="500"/>
        </w:trPr>
        <w:tc>
          <w:tcPr>
            <w:tcW w:w="30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EA0DE4" w14:textId="77777777" w:rsidR="00B333EE" w:rsidRPr="00B333EE" w:rsidRDefault="00B333EE" w:rsidP="00B333EE">
            <w:pPr>
              <w:jc w:val="left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Ampliació del cabal en 100 Mbps per l'accés dedicat diversificat de l'operador principal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23D559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15%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BC7200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6E4C76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B333EE" w:rsidRPr="00B333EE" w14:paraId="15D9A6B1" w14:textId="77777777" w:rsidTr="007A2320">
        <w:trPr>
          <w:trHeight w:val="500"/>
        </w:trPr>
        <w:tc>
          <w:tcPr>
            <w:tcW w:w="30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3FE953" w14:textId="77777777" w:rsidR="00B333EE" w:rsidRPr="00B333EE" w:rsidRDefault="00B333EE" w:rsidP="00B333EE">
            <w:pPr>
              <w:jc w:val="left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Ampliació del cabal en 200 Mbps per l'accés dedicat diversificat de l'operador principal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E6D763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25%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E1E0AF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756CBF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B333EE" w:rsidRPr="00B333EE" w14:paraId="02F25FAC" w14:textId="77777777" w:rsidTr="007A2320">
        <w:trPr>
          <w:trHeight w:val="500"/>
        </w:trPr>
        <w:tc>
          <w:tcPr>
            <w:tcW w:w="30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DC9CD5" w14:textId="77777777" w:rsidR="00B333EE" w:rsidRPr="00B333EE" w:rsidRDefault="00B333EE" w:rsidP="00B333EE">
            <w:pPr>
              <w:jc w:val="left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Ampliació del cabal en 400 Mbps per l'accés dedicat diversificat de l'operador principal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796A9F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25%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FC4E65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58639D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B333EE" w:rsidRPr="00B333EE" w14:paraId="527BFA3B" w14:textId="77777777" w:rsidTr="007A2320">
        <w:trPr>
          <w:trHeight w:val="500"/>
        </w:trPr>
        <w:tc>
          <w:tcPr>
            <w:tcW w:w="30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4CF099" w14:textId="77777777" w:rsidR="00B333EE" w:rsidRPr="00B333EE" w:rsidRDefault="00B333EE" w:rsidP="00B333EE">
            <w:pPr>
              <w:jc w:val="left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Ampliació del cabal en 1500 Mbps per l'accés dedicat diversificat de l'operador principal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B6F061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15%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309F10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53233F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B333EE" w:rsidRPr="00B333EE" w14:paraId="58314D51" w14:textId="77777777" w:rsidTr="007A2320">
        <w:trPr>
          <w:trHeight w:val="250"/>
        </w:trPr>
        <w:tc>
          <w:tcPr>
            <w:tcW w:w="30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3B9B2C" w14:textId="77777777" w:rsidR="00B333EE" w:rsidRPr="00B333EE" w:rsidRDefault="00B333EE" w:rsidP="00B333EE">
            <w:pPr>
              <w:jc w:val="left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Ampliació del cabal en 300 Mbps per l'accés a Internet de l'operador secundari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BCDCD8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10%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714008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24C98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B333EE" w:rsidRPr="00B333EE" w14:paraId="36360A5F" w14:textId="77777777" w:rsidTr="007A2320">
        <w:trPr>
          <w:trHeight w:val="250"/>
        </w:trPr>
        <w:tc>
          <w:tcPr>
            <w:tcW w:w="3064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6FFE0E" w14:textId="77777777" w:rsidR="00B333EE" w:rsidRPr="00B333EE" w:rsidRDefault="00B333EE" w:rsidP="00B333EE">
            <w:pPr>
              <w:jc w:val="left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Ampliació del cabal en 700 Mbps per l'accés a Internet de l'operador secundari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7252ED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10%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E4210B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D47FC2" w14:textId="77777777" w:rsidR="00B333EE" w:rsidRPr="00B333EE" w:rsidRDefault="00B333EE" w:rsidP="00B333EE">
            <w:pPr>
              <w:jc w:val="center"/>
              <w:rPr>
                <w:rFonts w:cs="Arial"/>
                <w:color w:val="000000"/>
                <w:sz w:val="18"/>
                <w:szCs w:val="18"/>
                <w:lang w:eastAsia="ca-ES"/>
              </w:rPr>
            </w:pPr>
            <w:r w:rsidRPr="00B333EE">
              <w:rPr>
                <w:rFonts w:cs="Arial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</w:tbl>
    <w:p w14:paraId="7566AA54" w14:textId="77777777" w:rsidR="00B333EE" w:rsidRDefault="00B333EE" w:rsidP="00A1240A">
      <w:pPr>
        <w:rPr>
          <w:b/>
        </w:rPr>
      </w:pPr>
    </w:p>
    <w:p w14:paraId="38F10143" w14:textId="77777777" w:rsidR="00F6311C" w:rsidRDefault="00F6311C" w:rsidP="00F6311C">
      <w:pPr>
        <w:rPr>
          <w:rFonts w:cs="Arial"/>
          <w:color w:val="000000" w:themeColor="text1"/>
          <w:spacing w:val="-2"/>
          <w:sz w:val="20"/>
        </w:rPr>
      </w:pPr>
    </w:p>
    <w:p w14:paraId="55CC67F2" w14:textId="77777777" w:rsidR="00F6311C" w:rsidRPr="00705ED5" w:rsidRDefault="00F6311C" w:rsidP="00F6311C">
      <w:pPr>
        <w:rPr>
          <w:rFonts w:cs="Arial"/>
          <w:color w:val="000000" w:themeColor="text1"/>
          <w:spacing w:val="-2"/>
          <w:sz w:val="20"/>
          <w:szCs w:val="20"/>
        </w:rPr>
      </w:pPr>
      <w:r w:rsidRPr="00705ED5">
        <w:rPr>
          <w:rFonts w:cs="Arial"/>
          <w:color w:val="000000" w:themeColor="text1"/>
          <w:spacing w:val="-2"/>
          <w:sz w:val="20"/>
          <w:szCs w:val="20"/>
        </w:rPr>
        <w:t>Com a licitador, en cas de resultar adjudicatari, es compromet a mantenir durant tota la vigència del contracte els preus unitaris indicats a la taula anterior per tal que l’Ajuntament pugui disposar d’aquests serveis</w:t>
      </w:r>
    </w:p>
    <w:p w14:paraId="1DBC9E8F" w14:textId="77777777" w:rsidR="00F6311C" w:rsidRPr="00705ED5" w:rsidRDefault="00F6311C" w:rsidP="00F6311C">
      <w:pPr>
        <w:rPr>
          <w:rFonts w:cs="Arial"/>
          <w:color w:val="000000" w:themeColor="text1"/>
          <w:spacing w:val="-2"/>
          <w:sz w:val="20"/>
          <w:szCs w:val="20"/>
        </w:rPr>
      </w:pPr>
    </w:p>
    <w:p w14:paraId="681BA026" w14:textId="02B53418" w:rsidR="00F6311C" w:rsidRPr="00705ED5" w:rsidRDefault="00F6311C" w:rsidP="00F6311C">
      <w:pPr>
        <w:rPr>
          <w:rFonts w:cs="Arial"/>
          <w:color w:val="000000" w:themeColor="text1"/>
          <w:sz w:val="20"/>
          <w:szCs w:val="20"/>
        </w:rPr>
      </w:pPr>
      <w:r w:rsidRPr="00705ED5">
        <w:rPr>
          <w:rFonts w:cs="Arial"/>
          <w:color w:val="000000" w:themeColor="text1"/>
          <w:sz w:val="20"/>
          <w:szCs w:val="20"/>
        </w:rPr>
        <w:t xml:space="preserve">Així mateix, assumeix que el fet de no completar algunes de les columnes abans descrites comporta que l’import ofert per l’Ajuntament pel que fa al respectiu preu unitari o cost serà de 0,00€/mes i, per tant, </w:t>
      </w:r>
      <w:r w:rsidR="008E5E74">
        <w:rPr>
          <w:rFonts w:cs="Arial"/>
          <w:color w:val="000000" w:themeColor="text1"/>
          <w:sz w:val="20"/>
          <w:szCs w:val="20"/>
        </w:rPr>
        <w:t>l’ampliació</w:t>
      </w:r>
      <w:r w:rsidRPr="00705ED5">
        <w:rPr>
          <w:rFonts w:cs="Arial"/>
          <w:color w:val="000000" w:themeColor="text1"/>
          <w:sz w:val="20"/>
          <w:szCs w:val="20"/>
        </w:rPr>
        <w:t xml:space="preserve"> no li suposarà cap cost associat.</w:t>
      </w:r>
    </w:p>
    <w:p w14:paraId="06DBC799" w14:textId="77777777" w:rsidR="00F6311C" w:rsidRDefault="00F6311C" w:rsidP="00F6311C">
      <w:pPr>
        <w:rPr>
          <w:rFonts w:cs="Arial"/>
          <w:color w:val="000000"/>
          <w:spacing w:val="-2"/>
          <w:sz w:val="20"/>
        </w:rPr>
      </w:pPr>
    </w:p>
    <w:p w14:paraId="08F54FCE" w14:textId="77777777" w:rsidR="00F6311C" w:rsidRDefault="00F6311C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56C7D128" w14:textId="030CA3CC" w:rsidR="00F6311C" w:rsidRPr="006B1AF2" w:rsidRDefault="00F6311C" w:rsidP="00F6311C">
      <w:pPr>
        <w:pStyle w:val="Ttol1"/>
      </w:pPr>
      <w:r w:rsidRPr="006B1AF2">
        <w:lastRenderedPageBreak/>
        <w:t xml:space="preserve">ANNEX  </w:t>
      </w:r>
      <w:r w:rsidR="00CF1428">
        <w:t>4</w:t>
      </w:r>
      <w:r w:rsidRPr="006B1AF2">
        <w:t>.</w:t>
      </w:r>
      <w:r>
        <w:t>3</w:t>
      </w:r>
      <w:r w:rsidR="00CF1428">
        <w:t>.2</w:t>
      </w:r>
    </w:p>
    <w:p w14:paraId="4AAFD0AF" w14:textId="77777777" w:rsidR="00F6311C" w:rsidRPr="006B1AF2" w:rsidRDefault="00F6311C" w:rsidP="00F6311C">
      <w:pPr>
        <w:rPr>
          <w:rFonts w:cs="Arial"/>
          <w:b/>
          <w:color w:val="000000"/>
          <w:spacing w:val="-2"/>
          <w:sz w:val="20"/>
          <w:u w:val="single"/>
        </w:rPr>
      </w:pPr>
    </w:p>
    <w:p w14:paraId="55E5ABA8" w14:textId="77777777" w:rsidR="00F6311C" w:rsidRPr="006B1AF2" w:rsidRDefault="00F6311C" w:rsidP="00F6311C">
      <w:pPr>
        <w:rPr>
          <w:rFonts w:cs="Arial"/>
          <w:color w:val="000000"/>
          <w:spacing w:val="-2"/>
          <w:sz w:val="20"/>
        </w:rPr>
      </w:pPr>
    </w:p>
    <w:p w14:paraId="06894E32" w14:textId="21370289" w:rsidR="00171C05" w:rsidRDefault="00F6311C" w:rsidP="00F6311C">
      <w:pPr>
        <w:rPr>
          <w:b/>
        </w:rPr>
      </w:pPr>
      <w:r w:rsidRPr="006B1AF2">
        <w:rPr>
          <w:b/>
        </w:rPr>
        <w:t xml:space="preserve">Criteri </w:t>
      </w:r>
      <w:r>
        <w:rPr>
          <w:b/>
        </w:rPr>
        <w:t xml:space="preserve">3: </w:t>
      </w:r>
      <w:r w:rsidR="00617412">
        <w:rPr>
          <w:b/>
        </w:rPr>
        <w:t xml:space="preserve">Accessos </w:t>
      </w:r>
      <w:r w:rsidR="005F042A">
        <w:rPr>
          <w:b/>
        </w:rPr>
        <w:t>de</w:t>
      </w:r>
      <w:r w:rsidR="00617412">
        <w:rPr>
          <w:b/>
        </w:rPr>
        <w:t xml:space="preserve"> navegació centralitzada</w:t>
      </w:r>
    </w:p>
    <w:p w14:paraId="229A8B55" w14:textId="77777777" w:rsidR="00A1240A" w:rsidRPr="00705ED5" w:rsidRDefault="00A1240A" w:rsidP="00A1240A">
      <w:pPr>
        <w:rPr>
          <w:rFonts w:cs="Arial"/>
          <w:color w:val="000000" w:themeColor="text1"/>
          <w:spacing w:val="-2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3646"/>
        <w:gridCol w:w="701"/>
        <w:gridCol w:w="1164"/>
      </w:tblGrid>
      <w:tr w:rsidR="00F31627" w:rsidRPr="00F31627" w14:paraId="7E42030E" w14:textId="77777777" w:rsidTr="007A2320">
        <w:trPr>
          <w:trHeight w:val="580"/>
        </w:trPr>
        <w:tc>
          <w:tcPr>
            <w:tcW w:w="18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0765042E" w14:textId="77777777" w:rsidR="00F31627" w:rsidRPr="007A2320" w:rsidRDefault="00F31627" w:rsidP="00F31627">
            <w:pPr>
              <w:jc w:val="center"/>
              <w:rPr>
                <w:rFonts w:cs="Arial"/>
                <w:sz w:val="18"/>
                <w:szCs w:val="18"/>
                <w:lang w:eastAsia="ca-ES"/>
              </w:rPr>
            </w:pPr>
            <w:r w:rsidRPr="007A2320">
              <w:rPr>
                <w:rFonts w:cs="Arial"/>
                <w:sz w:val="18"/>
                <w:szCs w:val="18"/>
                <w:lang w:eastAsia="ca-ES"/>
              </w:rPr>
              <w:t>Adreça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495E00A6" w14:textId="77777777" w:rsidR="00F31627" w:rsidRPr="007A2320" w:rsidRDefault="00F31627" w:rsidP="00F31627">
            <w:pPr>
              <w:jc w:val="center"/>
              <w:rPr>
                <w:rFonts w:cs="Arial"/>
                <w:sz w:val="18"/>
                <w:szCs w:val="18"/>
                <w:lang w:eastAsia="ca-ES"/>
              </w:rPr>
            </w:pPr>
            <w:r w:rsidRPr="007A2320">
              <w:rPr>
                <w:rFonts w:cs="Arial"/>
                <w:sz w:val="18"/>
                <w:szCs w:val="18"/>
                <w:lang w:eastAsia="ca-ES"/>
              </w:rPr>
              <w:t>Tipus d'accés</w:t>
            </w:r>
          </w:p>
        </w:tc>
        <w:tc>
          <w:tcPr>
            <w:tcW w:w="36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364BB307" w14:textId="77777777" w:rsidR="00F31627" w:rsidRPr="007A2320" w:rsidRDefault="00F31627" w:rsidP="00F31627">
            <w:pPr>
              <w:jc w:val="center"/>
              <w:rPr>
                <w:rFonts w:cs="Arial"/>
                <w:sz w:val="18"/>
                <w:szCs w:val="18"/>
                <w:lang w:eastAsia="ca-ES"/>
              </w:rPr>
            </w:pPr>
            <w:r w:rsidRPr="007A2320">
              <w:rPr>
                <w:rFonts w:cs="Arial"/>
                <w:sz w:val="18"/>
                <w:szCs w:val="18"/>
                <w:lang w:eastAsia="ca-ES"/>
              </w:rPr>
              <w:t>Servei requerit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111FDB67" w14:textId="77777777" w:rsidR="00F31627" w:rsidRPr="007A2320" w:rsidRDefault="00F31627" w:rsidP="00F31627">
            <w:pPr>
              <w:jc w:val="center"/>
              <w:rPr>
                <w:rFonts w:cs="Arial"/>
                <w:sz w:val="18"/>
                <w:szCs w:val="18"/>
                <w:lang w:eastAsia="ca-ES"/>
              </w:rPr>
            </w:pPr>
            <w:r w:rsidRPr="007A2320">
              <w:rPr>
                <w:rFonts w:cs="Arial"/>
                <w:sz w:val="18"/>
                <w:szCs w:val="18"/>
                <w:lang w:eastAsia="ca-ES"/>
              </w:rPr>
              <w:t>Unitats</w:t>
            </w:r>
          </w:p>
        </w:tc>
        <w:tc>
          <w:tcPr>
            <w:tcW w:w="0" w:type="auto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A6A6A6"/>
            <w:vAlign w:val="center"/>
            <w:hideMark/>
          </w:tcPr>
          <w:p w14:paraId="0E30B951" w14:textId="77777777" w:rsidR="00F31627" w:rsidRPr="00F31627" w:rsidRDefault="00F31627" w:rsidP="00F31627">
            <w:pPr>
              <w:jc w:val="center"/>
              <w:rPr>
                <w:rFonts w:cs="Arial"/>
                <w:color w:val="FFFFFF"/>
                <w:sz w:val="18"/>
                <w:szCs w:val="18"/>
                <w:lang w:eastAsia="ca-ES"/>
              </w:rPr>
            </w:pPr>
            <w:r w:rsidRPr="00F31627">
              <w:rPr>
                <w:rFonts w:cs="Arial"/>
                <w:color w:val="FFFFFF"/>
                <w:sz w:val="18"/>
                <w:szCs w:val="18"/>
                <w:lang w:eastAsia="ca-ES"/>
              </w:rPr>
              <w:t>Amplada de banda del cabal ofert (simètric garantit)</w:t>
            </w:r>
          </w:p>
        </w:tc>
      </w:tr>
      <w:tr w:rsidR="00F31627" w:rsidRPr="00F31627" w14:paraId="31644F94" w14:textId="77777777" w:rsidTr="007A2320">
        <w:trPr>
          <w:trHeight w:val="520"/>
        </w:trPr>
        <w:tc>
          <w:tcPr>
            <w:tcW w:w="18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7C3DDA" w14:textId="77777777" w:rsidR="00F31627" w:rsidRPr="00F31627" w:rsidRDefault="00F31627" w:rsidP="00F31627">
            <w:pPr>
              <w:jc w:val="left"/>
              <w:rPr>
                <w:rFonts w:cs="Arial"/>
                <w:sz w:val="18"/>
                <w:szCs w:val="18"/>
                <w:lang w:eastAsia="ca-ES"/>
              </w:rPr>
            </w:pPr>
            <w:proofErr w:type="spellStart"/>
            <w:r w:rsidRPr="00F31627">
              <w:rPr>
                <w:rFonts w:cs="Arial"/>
                <w:sz w:val="18"/>
                <w:szCs w:val="18"/>
                <w:lang w:eastAsia="ca-ES"/>
              </w:rPr>
              <w:t>Narcis</w:t>
            </w:r>
            <w:proofErr w:type="spellEnd"/>
            <w:r w:rsidRPr="00F31627">
              <w:rPr>
                <w:rFonts w:cs="Arial"/>
                <w:sz w:val="18"/>
                <w:szCs w:val="18"/>
                <w:lang w:eastAsia="ca-ES"/>
              </w:rPr>
              <w:t xml:space="preserve"> Giralt 74 i Plaça Sant Roc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A5DA125" w14:textId="77777777" w:rsidR="00F31627" w:rsidRPr="00F31627" w:rsidRDefault="00F31627" w:rsidP="00F31627">
            <w:pPr>
              <w:jc w:val="left"/>
              <w:rPr>
                <w:rFonts w:cs="Arial"/>
                <w:sz w:val="18"/>
                <w:szCs w:val="18"/>
                <w:lang w:eastAsia="ca-ES"/>
              </w:rPr>
            </w:pPr>
            <w:r w:rsidRPr="00F31627">
              <w:rPr>
                <w:rFonts w:cs="Arial"/>
                <w:sz w:val="18"/>
                <w:szCs w:val="18"/>
                <w:lang w:eastAsia="ca-ES"/>
              </w:rPr>
              <w:t>Accés mateix operador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BF730" w14:textId="77777777" w:rsidR="00F31627" w:rsidRPr="00F31627" w:rsidRDefault="00F31627" w:rsidP="00F31627">
            <w:pPr>
              <w:jc w:val="left"/>
              <w:rPr>
                <w:rFonts w:cs="Arial"/>
                <w:sz w:val="18"/>
                <w:szCs w:val="18"/>
                <w:lang w:eastAsia="ca-ES"/>
              </w:rPr>
            </w:pPr>
            <w:r w:rsidRPr="00F31627">
              <w:rPr>
                <w:rFonts w:cs="Arial"/>
                <w:sz w:val="18"/>
                <w:szCs w:val="18"/>
                <w:lang w:eastAsia="ca-ES"/>
              </w:rPr>
              <w:t>Accés dedicat diversificat amb cabal d’Internet garantit de 500 Mbps (entre l’Ajuntament i Narcís Giralt) (operador principal)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46B1BF" w14:textId="77777777" w:rsidR="00F31627" w:rsidRPr="00F31627" w:rsidRDefault="00F31627" w:rsidP="00846164">
            <w:pPr>
              <w:jc w:val="center"/>
              <w:rPr>
                <w:rFonts w:cs="Arial"/>
                <w:sz w:val="18"/>
                <w:szCs w:val="18"/>
                <w:lang w:eastAsia="ca-ES"/>
              </w:rPr>
            </w:pPr>
            <w:r w:rsidRPr="00F31627">
              <w:rPr>
                <w:rFonts w:cs="Arial"/>
                <w:sz w:val="18"/>
                <w:szCs w:val="18"/>
                <w:lang w:eastAsia="ca-ES"/>
              </w:rPr>
              <w:t>1+1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1DC6E7" w14:textId="77777777" w:rsidR="00F31627" w:rsidRPr="00F31627" w:rsidRDefault="00F31627" w:rsidP="00F31627">
            <w:pPr>
              <w:jc w:val="left"/>
              <w:rPr>
                <w:rFonts w:cs="Arial"/>
                <w:sz w:val="18"/>
                <w:szCs w:val="18"/>
                <w:lang w:eastAsia="ca-ES"/>
              </w:rPr>
            </w:pPr>
            <w:r w:rsidRPr="00F31627">
              <w:rPr>
                <w:rFonts w:cs="Arial"/>
                <w:sz w:val="18"/>
                <w:szCs w:val="18"/>
                <w:lang w:eastAsia="ca-ES"/>
              </w:rPr>
              <w:t> </w:t>
            </w:r>
          </w:p>
        </w:tc>
      </w:tr>
      <w:tr w:rsidR="00F31627" w:rsidRPr="00F31627" w14:paraId="27D0D080" w14:textId="77777777" w:rsidTr="007A2320">
        <w:trPr>
          <w:trHeight w:val="520"/>
        </w:trPr>
        <w:tc>
          <w:tcPr>
            <w:tcW w:w="18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609ABB" w14:textId="77777777" w:rsidR="00F31627" w:rsidRPr="00F31627" w:rsidRDefault="00F31627" w:rsidP="00F31627">
            <w:pPr>
              <w:jc w:val="left"/>
              <w:rPr>
                <w:rFonts w:cs="Arial"/>
                <w:sz w:val="18"/>
                <w:szCs w:val="18"/>
                <w:lang w:eastAsia="ca-ES"/>
              </w:rPr>
            </w:pPr>
            <w:proofErr w:type="spellStart"/>
            <w:r w:rsidRPr="00F31627">
              <w:rPr>
                <w:rFonts w:cs="Arial"/>
                <w:sz w:val="18"/>
                <w:szCs w:val="18"/>
                <w:lang w:eastAsia="ca-ES"/>
              </w:rPr>
              <w:t>Narcis</w:t>
            </w:r>
            <w:proofErr w:type="spellEnd"/>
            <w:r w:rsidRPr="00F31627">
              <w:rPr>
                <w:rFonts w:cs="Arial"/>
                <w:sz w:val="18"/>
                <w:szCs w:val="18"/>
                <w:lang w:eastAsia="ca-ES"/>
              </w:rPr>
              <w:t xml:space="preserve"> Giralt 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1CB96C" w14:textId="77777777" w:rsidR="00F31627" w:rsidRPr="00F31627" w:rsidRDefault="00F31627" w:rsidP="00F31627">
            <w:pPr>
              <w:jc w:val="left"/>
              <w:rPr>
                <w:rFonts w:cs="Arial"/>
                <w:sz w:val="18"/>
                <w:szCs w:val="18"/>
                <w:lang w:eastAsia="ca-ES"/>
              </w:rPr>
            </w:pPr>
            <w:r w:rsidRPr="00F31627">
              <w:rPr>
                <w:rFonts w:cs="Arial"/>
                <w:sz w:val="18"/>
                <w:szCs w:val="18"/>
                <w:lang w:eastAsia="ca-ES"/>
              </w:rPr>
              <w:t>Accés operador alternatiu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234A3" w14:textId="77777777" w:rsidR="00F31627" w:rsidRPr="00F31627" w:rsidRDefault="00F31627" w:rsidP="00F31627">
            <w:pPr>
              <w:jc w:val="left"/>
              <w:rPr>
                <w:rFonts w:cs="Arial"/>
                <w:sz w:val="18"/>
                <w:szCs w:val="18"/>
                <w:lang w:eastAsia="ca-ES"/>
              </w:rPr>
            </w:pPr>
            <w:r w:rsidRPr="00F31627">
              <w:rPr>
                <w:rFonts w:cs="Arial"/>
                <w:sz w:val="18"/>
                <w:szCs w:val="18"/>
                <w:lang w:eastAsia="ca-ES"/>
              </w:rPr>
              <w:t>Accés a Internet amb cabal garantit de 300 Mbps a Narcís Giralt (operador secundari)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AA00DE" w14:textId="77777777" w:rsidR="00F31627" w:rsidRPr="00F31627" w:rsidRDefault="00F31627" w:rsidP="00846164">
            <w:pPr>
              <w:jc w:val="center"/>
              <w:rPr>
                <w:rFonts w:cs="Arial"/>
                <w:sz w:val="18"/>
                <w:szCs w:val="18"/>
                <w:lang w:eastAsia="ca-ES"/>
              </w:rPr>
            </w:pPr>
            <w:r w:rsidRPr="00F31627">
              <w:rPr>
                <w:rFonts w:cs="Arial"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F03291" w14:textId="77777777" w:rsidR="00F31627" w:rsidRPr="00F31627" w:rsidRDefault="00F31627" w:rsidP="00F31627">
            <w:pPr>
              <w:jc w:val="left"/>
              <w:rPr>
                <w:rFonts w:cs="Arial"/>
                <w:sz w:val="18"/>
                <w:szCs w:val="18"/>
                <w:lang w:eastAsia="ca-ES"/>
              </w:rPr>
            </w:pPr>
            <w:r w:rsidRPr="00F31627">
              <w:rPr>
                <w:rFonts w:cs="Arial"/>
                <w:sz w:val="18"/>
                <w:szCs w:val="18"/>
                <w:lang w:eastAsia="ca-ES"/>
              </w:rPr>
              <w:t> </w:t>
            </w:r>
          </w:p>
        </w:tc>
      </w:tr>
    </w:tbl>
    <w:p w14:paraId="151CB0ED" w14:textId="77777777" w:rsidR="00A1240A" w:rsidRDefault="00A1240A" w:rsidP="00A1240A">
      <w:pPr>
        <w:rPr>
          <w:rFonts w:cs="Arial"/>
          <w:color w:val="000000"/>
          <w:spacing w:val="-2"/>
          <w:sz w:val="20"/>
        </w:rPr>
      </w:pPr>
    </w:p>
    <w:p w14:paraId="56B28D55" w14:textId="66939466" w:rsidR="00617412" w:rsidRPr="006B1AF2" w:rsidRDefault="00617412" w:rsidP="00617412">
      <w:bookmarkStart w:id="0" w:name="_GoBack"/>
      <w:bookmarkEnd w:id="0"/>
    </w:p>
    <w:sectPr w:rsidR="00617412" w:rsidRPr="006B1AF2">
      <w:headerReference w:type="default" r:id="rId11"/>
      <w:pgSz w:w="11906" w:h="16838" w:code="9"/>
      <w:pgMar w:top="1979" w:right="1287" w:bottom="1077" w:left="1701" w:header="720" w:footer="720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90596" w14:textId="77777777" w:rsidR="006F34F2" w:rsidRDefault="008106A2">
      <w:r>
        <w:separator/>
      </w:r>
    </w:p>
  </w:endnote>
  <w:endnote w:type="continuationSeparator" w:id="0">
    <w:p w14:paraId="6FB273F8" w14:textId="77777777" w:rsidR="006F34F2" w:rsidRDefault="008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C4005" w14:textId="77777777" w:rsidR="006F34F2" w:rsidRDefault="008106A2">
      <w:r>
        <w:separator/>
      </w:r>
    </w:p>
  </w:footnote>
  <w:footnote w:type="continuationSeparator" w:id="0">
    <w:p w14:paraId="1D0C361D" w14:textId="77777777" w:rsidR="006F34F2" w:rsidRDefault="00810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1CF48" w14:textId="77777777" w:rsidR="007A7EE9" w:rsidRDefault="00AB6319">
    <w:pPr>
      <w:pStyle w:val="Capalera"/>
      <w:spacing w:after="40"/>
      <w:ind w:left="3538"/>
      <w:jc w:val="right"/>
      <w:rPr>
        <w:rFonts w:cs="Arial"/>
        <w:sz w:val="18"/>
      </w:rPr>
    </w:pPr>
    <w:r>
      <w:rPr>
        <w:rFonts w:cs="Arial"/>
        <w:noProof/>
        <w:sz w:val="18"/>
      </w:rPr>
      <w:object w:dxaOrig="1440" w:dyaOrig="1440" w14:anchorId="09FBD6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7pt;margin-top:-.05pt;width:102pt;height:51.2pt;z-index:251659264">
          <v:imagedata r:id="rId1" o:title=""/>
        </v:shape>
        <o:OLEObject Type="Embed" ProgID="MSPhotoEd.3" ShapeID="_x0000_s1025" DrawAspect="Content" ObjectID="_1781953697" r:id="rId2"/>
      </w:object>
    </w:r>
    <w:r w:rsidR="00670A14">
      <w:rPr>
        <w:b/>
        <w:bCs/>
        <w:sz w:val="20"/>
      </w:rPr>
      <w:tab/>
    </w:r>
    <w:r w:rsidR="00670A14">
      <w:rPr>
        <w:b/>
        <w:bCs/>
        <w:sz w:val="20"/>
      </w:rPr>
      <w:tab/>
    </w:r>
  </w:p>
  <w:p w14:paraId="7099BE7E" w14:textId="77777777" w:rsidR="007A7EE9" w:rsidRDefault="007A7EE9">
    <w:pPr>
      <w:pStyle w:val="Capalera"/>
      <w:spacing w:after="40"/>
      <w:ind w:left="3538"/>
      <w:jc w:val="right"/>
      <w:rPr>
        <w:rFonts w:ascii="Calibri" w:hAnsi="Calibri"/>
      </w:rPr>
    </w:pPr>
  </w:p>
  <w:p w14:paraId="552DD099" w14:textId="77777777" w:rsidR="007A7EE9" w:rsidRDefault="007A7EE9">
    <w:pPr>
      <w:pStyle w:val="Capalera"/>
      <w:tabs>
        <w:tab w:val="center" w:pos="4344"/>
        <w:tab w:val="center" w:pos="6154"/>
        <w:tab w:val="left" w:pos="7802"/>
      </w:tabs>
      <w:spacing w:after="80"/>
      <w:rPr>
        <w:rFonts w:cs="Arial"/>
        <w:sz w:val="20"/>
      </w:rPr>
    </w:pPr>
  </w:p>
  <w:p w14:paraId="59A85BEA" w14:textId="77777777" w:rsidR="007A7EE9" w:rsidRDefault="00670A14" w:rsidP="00B5300D">
    <w:pPr>
      <w:pStyle w:val="encapalament"/>
      <w:tabs>
        <w:tab w:val="clear" w:pos="1276"/>
      </w:tabs>
      <w:spacing w:line="240" w:lineRule="auto"/>
      <w:ind w:left="16" w:hanging="16"/>
      <w:rPr>
        <w:rFonts w:ascii="Arial" w:hAnsi="Arial"/>
        <w:b w:val="0"/>
        <w:bCs/>
        <w:sz w:val="20"/>
      </w:rPr>
    </w:pPr>
    <w:r>
      <w:rPr>
        <w:rFonts w:ascii="Arial" w:hAnsi="Arial" w:cs="Arial"/>
      </w:rPr>
      <w:t>Ex. Núm.:</w:t>
    </w:r>
    <w:r>
      <w:rPr>
        <w:rFonts w:ascii="Arial" w:hAnsi="Arial" w:cs="Arial"/>
        <w:noProof/>
      </w:rPr>
      <w:t xml:space="preserve"> </w:t>
    </w:r>
    <w:r>
      <w:rPr>
        <w:rFonts w:ascii="Arial" w:hAnsi="Arial" w:cs="Arial"/>
      </w:rPr>
      <w:t xml:space="preserve">                                                                       </w:t>
    </w:r>
    <w:r>
      <w:rPr>
        <w:rFonts w:ascii="Arial" w:hAnsi="Arial"/>
        <w:b w:val="0"/>
        <w:bCs/>
        <w:sz w:val="20"/>
      </w:rPr>
      <w:tab/>
    </w:r>
    <w:r>
      <w:rPr>
        <w:rFonts w:ascii="Arial" w:hAnsi="Arial"/>
        <w:b w:val="0"/>
        <w:bCs/>
        <w:sz w:val="20"/>
      </w:rPr>
      <w:tab/>
    </w:r>
    <w:r>
      <w:rPr>
        <w:rFonts w:ascii="Arial" w:hAnsi="Arial"/>
        <w:b w:val="0"/>
        <w:bCs/>
        <w:sz w:val="20"/>
      </w:rPr>
      <w:tab/>
    </w:r>
    <w:r>
      <w:rPr>
        <w:rFonts w:ascii="Arial" w:hAnsi="Arial"/>
        <w:b w:val="0"/>
        <w:bCs/>
        <w:sz w:val="20"/>
      </w:rPr>
      <w:tab/>
    </w:r>
    <w:r>
      <w:rPr>
        <w:rFonts w:ascii="Arial" w:hAnsi="Arial"/>
        <w:b w:val="0"/>
        <w:bCs/>
        <w:sz w:val="20"/>
      </w:rPr>
      <w:tab/>
    </w:r>
    <w:r>
      <w:rPr>
        <w:rFonts w:ascii="Arial" w:hAnsi="Arial"/>
        <w:b w:val="0"/>
        <w:bCs/>
        <w:sz w:val="20"/>
      </w:rPr>
      <w:tab/>
    </w:r>
    <w:r>
      <w:rPr>
        <w:rFonts w:ascii="Arial" w:hAnsi="Arial"/>
        <w:b w:val="0"/>
        <w:bCs/>
        <w:sz w:val="20"/>
      </w:rPr>
      <w:tab/>
    </w:r>
    <w:r>
      <w:rPr>
        <w:rFonts w:ascii="Arial" w:hAnsi="Arial"/>
        <w:b w:val="0"/>
        <w:bCs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6F05"/>
    <w:multiLevelType w:val="hybridMultilevel"/>
    <w:tmpl w:val="C372A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3124E"/>
    <w:multiLevelType w:val="hybridMultilevel"/>
    <w:tmpl w:val="2BE68D7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E3E51"/>
    <w:multiLevelType w:val="hybridMultilevel"/>
    <w:tmpl w:val="E8442770"/>
    <w:lvl w:ilvl="0" w:tplc="E57ECF80">
      <w:start w:val="1"/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C00484A"/>
    <w:multiLevelType w:val="hybridMultilevel"/>
    <w:tmpl w:val="147C298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EB"/>
    <w:rsid w:val="000105DA"/>
    <w:rsid w:val="00017D2D"/>
    <w:rsid w:val="00066ECE"/>
    <w:rsid w:val="00114ABC"/>
    <w:rsid w:val="00171C05"/>
    <w:rsid w:val="002953AB"/>
    <w:rsid w:val="002B2136"/>
    <w:rsid w:val="003641D5"/>
    <w:rsid w:val="004E3345"/>
    <w:rsid w:val="00567E63"/>
    <w:rsid w:val="005B4B8A"/>
    <w:rsid w:val="005E3CBF"/>
    <w:rsid w:val="005F042A"/>
    <w:rsid w:val="00617412"/>
    <w:rsid w:val="00670A14"/>
    <w:rsid w:val="006920A0"/>
    <w:rsid w:val="00695FDE"/>
    <w:rsid w:val="006B1AF2"/>
    <w:rsid w:val="006F34F2"/>
    <w:rsid w:val="00705ED5"/>
    <w:rsid w:val="0070616F"/>
    <w:rsid w:val="007265BA"/>
    <w:rsid w:val="007A2320"/>
    <w:rsid w:val="007A7EE9"/>
    <w:rsid w:val="007B3F59"/>
    <w:rsid w:val="007F706C"/>
    <w:rsid w:val="008106A2"/>
    <w:rsid w:val="00840B44"/>
    <w:rsid w:val="00846164"/>
    <w:rsid w:val="0085593E"/>
    <w:rsid w:val="00897264"/>
    <w:rsid w:val="008B2F32"/>
    <w:rsid w:val="008E5E74"/>
    <w:rsid w:val="008F6C5A"/>
    <w:rsid w:val="00904B39"/>
    <w:rsid w:val="00977EC1"/>
    <w:rsid w:val="009812E7"/>
    <w:rsid w:val="00996922"/>
    <w:rsid w:val="009C4921"/>
    <w:rsid w:val="00A07B72"/>
    <w:rsid w:val="00A11BFD"/>
    <w:rsid w:val="00A1240A"/>
    <w:rsid w:val="00A265C6"/>
    <w:rsid w:val="00AB6319"/>
    <w:rsid w:val="00AD7807"/>
    <w:rsid w:val="00B333EE"/>
    <w:rsid w:val="00C4181D"/>
    <w:rsid w:val="00CA77A6"/>
    <w:rsid w:val="00CF1428"/>
    <w:rsid w:val="00CF194F"/>
    <w:rsid w:val="00DE606A"/>
    <w:rsid w:val="00E966E1"/>
    <w:rsid w:val="00EA6ACF"/>
    <w:rsid w:val="00EB631C"/>
    <w:rsid w:val="00EE6285"/>
    <w:rsid w:val="00F11B02"/>
    <w:rsid w:val="00F271EB"/>
    <w:rsid w:val="00F31627"/>
    <w:rsid w:val="00F3318F"/>
    <w:rsid w:val="00F36D8E"/>
    <w:rsid w:val="00F505E3"/>
    <w:rsid w:val="00F6311C"/>
    <w:rsid w:val="00FB4B12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2A077"/>
  <w15:chartTrackingRefBased/>
  <w15:docId w15:val="{01B0F673-F1C9-4651-829E-AEB87ACC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E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4"/>
      <w:lang w:val="ca-ES"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F271EB"/>
    <w:pPr>
      <w:keepNext/>
      <w:keepLines/>
      <w:spacing w:before="240"/>
      <w:outlineLvl w:val="0"/>
    </w:pPr>
    <w:rPr>
      <w:rFonts w:eastAsiaTheme="majorEastAsia" w:cstheme="majorBidi"/>
      <w:b/>
      <w:szCs w:val="32"/>
      <w:u w:val="single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F271EB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paragraph" w:styleId="Ttol8">
    <w:name w:val="heading 8"/>
    <w:basedOn w:val="Normal"/>
    <w:next w:val="Normal"/>
    <w:link w:val="Ttol8Car"/>
    <w:qFormat/>
    <w:rsid w:val="00F271EB"/>
    <w:pPr>
      <w:keepNext/>
      <w:outlineLvl w:val="7"/>
    </w:pPr>
    <w:rPr>
      <w:rFonts w:cs="Arial"/>
      <w:b/>
      <w:spacing w:val="-2"/>
      <w:u w:val="single"/>
    </w:rPr>
  </w:style>
  <w:style w:type="paragraph" w:styleId="Ttol9">
    <w:name w:val="heading 9"/>
    <w:basedOn w:val="Normal"/>
    <w:next w:val="Normal"/>
    <w:link w:val="Ttol9Car"/>
    <w:qFormat/>
    <w:rsid w:val="00F271EB"/>
    <w:pPr>
      <w:keepNext/>
      <w:jc w:val="left"/>
      <w:outlineLvl w:val="8"/>
    </w:pPr>
    <w:rPr>
      <w:rFonts w:cs="Arial"/>
      <w:b/>
      <w:bCs/>
      <w:color w:val="000000"/>
      <w:spacing w:val="-2"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8Car">
    <w:name w:val="Títol 8 Car"/>
    <w:basedOn w:val="Tipusdelletraperdefectedelpargraf"/>
    <w:link w:val="Ttol8"/>
    <w:rsid w:val="00F271EB"/>
    <w:rPr>
      <w:rFonts w:ascii="Arial" w:eastAsia="Times New Roman" w:hAnsi="Arial" w:cs="Arial"/>
      <w:b/>
      <w:spacing w:val="-2"/>
      <w:kern w:val="0"/>
      <w:szCs w:val="24"/>
      <w:u w:val="single"/>
      <w:lang w:val="ca-ES" w:eastAsia="es-ES"/>
      <w14:ligatures w14:val="none"/>
    </w:rPr>
  </w:style>
  <w:style w:type="character" w:customStyle="1" w:styleId="Ttol9Car">
    <w:name w:val="Títol 9 Car"/>
    <w:basedOn w:val="Tipusdelletraperdefectedelpargraf"/>
    <w:link w:val="Ttol9"/>
    <w:rsid w:val="00F271EB"/>
    <w:rPr>
      <w:rFonts w:ascii="Arial" w:eastAsia="Times New Roman" w:hAnsi="Arial" w:cs="Arial"/>
      <w:b/>
      <w:bCs/>
      <w:color w:val="000000"/>
      <w:spacing w:val="-2"/>
      <w:kern w:val="0"/>
      <w:sz w:val="20"/>
      <w:szCs w:val="24"/>
      <w:lang w:val="ca-ES" w:eastAsia="es-ES"/>
      <w14:ligatures w14:val="none"/>
    </w:rPr>
  </w:style>
  <w:style w:type="paragraph" w:styleId="Capalera">
    <w:name w:val="header"/>
    <w:basedOn w:val="Normal"/>
    <w:link w:val="CapaleraCar"/>
    <w:rsid w:val="00F271E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F271EB"/>
    <w:rPr>
      <w:rFonts w:ascii="Arial" w:eastAsia="Times New Roman" w:hAnsi="Arial" w:cs="Times New Roman"/>
      <w:kern w:val="0"/>
      <w:szCs w:val="24"/>
      <w:lang w:val="ca-ES" w:eastAsia="es-ES"/>
      <w14:ligatures w14:val="none"/>
    </w:rPr>
  </w:style>
  <w:style w:type="paragraph" w:customStyle="1" w:styleId="encapalament">
    <w:name w:val="encapçalament"/>
    <w:basedOn w:val="Normal"/>
    <w:rsid w:val="00F271EB"/>
    <w:pPr>
      <w:tabs>
        <w:tab w:val="left" w:pos="1276"/>
      </w:tabs>
      <w:spacing w:line="360" w:lineRule="auto"/>
      <w:ind w:left="1276" w:hanging="1276"/>
    </w:pPr>
    <w:rPr>
      <w:rFonts w:ascii="Century Gothic" w:hAnsi="Century Gothic"/>
      <w:b/>
      <w:sz w:val="18"/>
      <w:szCs w:val="20"/>
    </w:rPr>
  </w:style>
  <w:style w:type="paragraph" w:styleId="Textindependent3">
    <w:name w:val="Body Text 3"/>
    <w:basedOn w:val="Normal"/>
    <w:link w:val="Textindependent3Car"/>
    <w:semiHidden/>
    <w:rsid w:val="00F271EB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szCs w:val="20"/>
      <w:u w:val="single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F271EB"/>
    <w:rPr>
      <w:rFonts w:ascii="Times New Roman" w:eastAsia="Times New Roman" w:hAnsi="Times New Roman" w:cs="Times New Roman"/>
      <w:b/>
      <w:spacing w:val="-3"/>
      <w:kern w:val="0"/>
      <w:sz w:val="24"/>
      <w:szCs w:val="20"/>
      <w:u w:val="single"/>
      <w:lang w:val="ca-ES" w:eastAsia="es-ES"/>
      <w14:ligatures w14:val="none"/>
    </w:rPr>
  </w:style>
  <w:style w:type="paragraph" w:customStyle="1" w:styleId="Textodeglobo1">
    <w:name w:val="Texto de globo1"/>
    <w:basedOn w:val="Normal"/>
    <w:unhideWhenUsed/>
    <w:rsid w:val="00F271EB"/>
    <w:pPr>
      <w:jc w:val="left"/>
    </w:pPr>
    <w:rPr>
      <w:rFonts w:ascii="Segoe UI" w:hAnsi="Segoe UI"/>
      <w:sz w:val="18"/>
      <w:szCs w:val="18"/>
      <w:lang w:val="x-none"/>
    </w:rPr>
  </w:style>
  <w:style w:type="character" w:customStyle="1" w:styleId="Ttol1Car">
    <w:name w:val="Títol 1 Car"/>
    <w:basedOn w:val="Tipusdelletraperdefectedelpargraf"/>
    <w:link w:val="Ttol1"/>
    <w:uiPriority w:val="9"/>
    <w:rsid w:val="00F271EB"/>
    <w:rPr>
      <w:rFonts w:ascii="Arial" w:eastAsiaTheme="majorEastAsia" w:hAnsi="Arial" w:cstheme="majorBidi"/>
      <w:b/>
      <w:kern w:val="0"/>
      <w:szCs w:val="32"/>
      <w:u w:val="single"/>
      <w:lang w:val="ca-ES" w:eastAsia="es-ES"/>
      <w14:ligatures w14:val="none"/>
    </w:rPr>
  </w:style>
  <w:style w:type="character" w:customStyle="1" w:styleId="Ttol2Car">
    <w:name w:val="Títol 2 Car"/>
    <w:basedOn w:val="Tipusdelletraperdefectedelpargraf"/>
    <w:link w:val="Ttol2"/>
    <w:uiPriority w:val="9"/>
    <w:rsid w:val="00F271EB"/>
    <w:rPr>
      <w:rFonts w:ascii="Arial" w:eastAsiaTheme="majorEastAsia" w:hAnsi="Arial" w:cstheme="majorBidi"/>
      <w:b/>
      <w:kern w:val="0"/>
      <w:sz w:val="20"/>
      <w:szCs w:val="26"/>
      <w:lang w:val="ca-ES" w:eastAsia="es-ES"/>
      <w14:ligatures w14:val="none"/>
    </w:rPr>
  </w:style>
  <w:style w:type="paragraph" w:styleId="Senseespaiat">
    <w:name w:val="No Spacing"/>
    <w:uiPriority w:val="1"/>
    <w:qFormat/>
    <w:rsid w:val="00F271EB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4"/>
      <w:lang w:val="ca-ES" w:eastAsia="es-ES"/>
      <w14:ligatures w14:val="non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70A1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670A14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70A14"/>
    <w:rPr>
      <w:rFonts w:ascii="Arial" w:eastAsia="Times New Roman" w:hAnsi="Arial" w:cs="Times New Roman"/>
      <w:kern w:val="0"/>
      <w:sz w:val="20"/>
      <w:szCs w:val="20"/>
      <w:lang w:val="ca-ES" w:eastAsia="es-ES"/>
      <w14:ligatures w14:val="non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70A1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70A14"/>
    <w:rPr>
      <w:rFonts w:ascii="Arial" w:eastAsia="Times New Roman" w:hAnsi="Arial" w:cs="Times New Roman"/>
      <w:b/>
      <w:bCs/>
      <w:kern w:val="0"/>
      <w:sz w:val="20"/>
      <w:szCs w:val="20"/>
      <w:lang w:val="ca-ES" w:eastAsia="es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840B4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40B44"/>
    <w:rPr>
      <w:rFonts w:ascii="Arial" w:eastAsia="Times New Roman" w:hAnsi="Arial" w:cs="Times New Roman"/>
      <w:kern w:val="0"/>
      <w:szCs w:val="24"/>
      <w:lang w:val="ca-ES" w:eastAsia="es-ES"/>
      <w14:ligatures w14:val="none"/>
    </w:rPr>
  </w:style>
  <w:style w:type="paragraph" w:styleId="Pargrafdellista">
    <w:name w:val="List Paragraph"/>
    <w:basedOn w:val="Normal"/>
    <w:uiPriority w:val="34"/>
    <w:qFormat/>
    <w:rsid w:val="00617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7567110B64847B13CFF5D534A7D05" ma:contentTypeVersion="19" ma:contentTypeDescription="Crea un document nou" ma:contentTypeScope="" ma:versionID="c296599d2660981c611baaab0700e5e4">
  <xsd:schema xmlns:xsd="http://www.w3.org/2001/XMLSchema" xmlns:xs="http://www.w3.org/2001/XMLSchema" xmlns:p="http://schemas.microsoft.com/office/2006/metadata/properties" xmlns:ns2="124f85f2-48d1-418b-851c-0f4c7c4d8054" xmlns:ns3="fb2bdf99-3273-4c85-be9d-a32e91ee86e8" targetNamespace="http://schemas.microsoft.com/office/2006/metadata/properties" ma:root="true" ma:fieldsID="7542c996251f63294bd2bdfc45f3d0d9" ns2:_="" ns3:_="">
    <xsd:import namespace="124f85f2-48d1-418b-851c-0f4c7c4d8054"/>
    <xsd:import namespace="fb2bdf99-3273-4c85-be9d-a32e91ee8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f85f2-48d1-418b-851c-0f4c7c4d8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Flow_SignoffStatus" ma:index="19" nillable="true" ma:displayName="Estat S'ha finalitzat" ma:internalName="Estat_x0020_S_x0027_ha_x0020_finalitzat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e0913ac-3ca7-4782-8bef-99c056468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bdf99-3273-4c85-be9d-a32e91ee86e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0d5aeed-2cf5-4284-ab23-57553f5ea594}" ma:internalName="TaxCatchAll" ma:showField="CatchAllData" ma:web="fb2bdf99-3273-4c85-be9d-a32e91ee8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f85f2-48d1-418b-851c-0f4c7c4d8054">
      <Terms xmlns="http://schemas.microsoft.com/office/infopath/2007/PartnerControls"/>
    </lcf76f155ced4ddcb4097134ff3c332f>
    <_Flow_SignoffStatus xmlns="124f85f2-48d1-418b-851c-0f4c7c4d8054" xsi:nil="true"/>
    <TaxCatchAll xmlns="fb2bdf99-3273-4c85-be9d-a32e91ee86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4F117-A8B8-4BEB-B591-F97A56259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1A836-AA5C-48B3-9186-E9D4AAC18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f85f2-48d1-418b-851c-0f4c7c4d8054"/>
    <ds:schemaRef ds:uri="fb2bdf99-3273-4c85-be9d-a32e91ee8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2C47E-1F91-446E-83C8-ADC8DAF8F42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fb2bdf99-3273-4c85-be9d-a32e91ee86e8"/>
    <ds:schemaRef ds:uri="http://schemas.microsoft.com/office/2006/documentManagement/types"/>
    <ds:schemaRef ds:uri="124f85f2-48d1-418b-851c-0f4c7c4d8054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AAE23CD-F904-49C1-A83D-5588BEA5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836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de Juan Pulido</dc:creator>
  <cp:keywords/>
  <dc:description/>
  <cp:lastModifiedBy>Nieto H Maria Esther POLICIA</cp:lastModifiedBy>
  <cp:revision>5</cp:revision>
  <dcterms:created xsi:type="dcterms:W3CDTF">2024-06-06T11:01:00Z</dcterms:created>
  <dcterms:modified xsi:type="dcterms:W3CDTF">2024-07-08T12:20:00Z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0x0101000217567110B64847B13CFF5D534A7D05</vt:lpwstr>
  </property>
  <property fmtid="{D5CDD505-2E9C-101B-9397-08002B2CF9AE}" pid="3" name="MediaServiceImageTags">
    <vt:lpwstr/>
  </property>
</Properties>
</file>