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b/>
          <w:b/>
          <w:bCs/>
          <w:sz w:val="22"/>
          <w:szCs w:val="22"/>
        </w:rPr>
      </w:pPr>
      <w:r>
        <w:rPr>
          <w:rFonts w:eastAsia="Arial" w:cs="Arial" w:ascii="Arial" w:hAnsi="Arial"/>
          <w:b/>
          <w:bCs/>
          <w:color w:val="000000"/>
          <w:sz w:val="22"/>
          <w:szCs w:val="22"/>
          <w:u w:val="none"/>
          <w:lang w:val="ca-ES"/>
        </w:rPr>
        <w:t>«</w:t>
      </w:r>
      <w:r>
        <w:rPr>
          <w:rFonts w:eastAsia="Arial" w:cs="Arial" w:ascii="Arial" w:hAnsi="Arial"/>
          <w:b/>
          <w:bCs/>
          <w:i/>
          <w:iCs/>
          <w:color w:val="000000"/>
          <w:sz w:val="22"/>
          <w:szCs w:val="22"/>
          <w:u w:val="none"/>
          <w:lang w:val="ca-ES"/>
        </w:rPr>
        <w:t xml:space="preserve">Exp. 20.../...: Documentació administrativa per participar en el procediment negociat sense publicitat per a la contractació del servei ................................. , presentada per ................................." </w:t>
      </w:r>
      <w:r>
        <w:rPr>
          <w:rFonts w:eastAsia="Arial" w:cs="Arial" w:ascii="Arial" w:hAnsi="Arial"/>
          <w:b w:val="false"/>
          <w:bCs w:val="false"/>
          <w:i/>
          <w:iCs/>
          <w:color w:val="2A6099"/>
          <w:sz w:val="22"/>
          <w:szCs w:val="22"/>
          <w:u w:val="none"/>
          <w:lang w:val="ca-ES"/>
        </w:rPr>
        <w:t>(si hi ha divisió en lots, cal indicar el/s lot/s a què es presenten)</w:t>
      </w:r>
    </w:p>
    <w:p>
      <w:pPr>
        <w:pStyle w:val="Normal"/>
        <w:spacing w:lineRule="auto" w:line="276"/>
        <w:jc w:val="both"/>
        <w:rPr>
          <w:rFonts w:ascii="Arial" w:hAnsi="Arial" w:eastAsia="Arial" w:cs="Arial"/>
          <w:b/>
          <w:b/>
          <w:bCs/>
          <w:color w:val="000000"/>
          <w:sz w:val="22"/>
          <w:szCs w:val="22"/>
          <w:u w:val="none"/>
          <w:lang w:val="ca-ES"/>
        </w:rPr>
      </w:pPr>
      <w:r>
        <w:rPr>
          <w:rFonts w:eastAsia="Arial" w:cs="Arial" w:ascii="Arial" w:hAnsi="Arial"/>
          <w:b/>
          <w:bCs/>
          <w:color w:val="000000"/>
          <w:sz w:val="22"/>
          <w:szCs w:val="22"/>
          <w:u w:val="none"/>
          <w:lang w:val="ca-ES"/>
        </w:rPr>
      </w:r>
    </w:p>
    <w:p>
      <w:pPr>
        <w:pStyle w:val="Normal"/>
        <w:numPr>
          <w:ilvl w:val="0"/>
          <w:numId w:val="2"/>
        </w:numP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lang w:val="ca-ES"/>
        </w:rPr>
        <w:t>la contracta</w:t>
      </w:r>
      <w:r>
        <w:rPr>
          <w:rFonts w:eastAsia="Arial" w:cs="Arial" w:ascii="Arial" w:hAnsi="Arial"/>
          <w:b w:val="false"/>
          <w:bCs w:val="false"/>
          <w:i/>
          <w:color w:val="000000"/>
          <w:sz w:val="22"/>
          <w:szCs w:val="22"/>
          <w:highlight w:val="white"/>
          <w:u w:val="none"/>
          <w:lang w:val="ca-ES"/>
        </w:rPr>
        <w:t>ci</w:t>
      </w:r>
      <w:r>
        <w:rPr>
          <w:rFonts w:eastAsia="Arial" w:cs="Arial" w:ascii="Arial" w:hAnsi="Arial"/>
          <w:b w:val="false"/>
          <w:i/>
          <w:color w:val="000000"/>
          <w:sz w:val="22"/>
          <w:szCs w:val="22"/>
          <w:highlight w:val="white"/>
          <w:u w:val="none"/>
          <w:lang w:val="ca-ES"/>
        </w:rPr>
        <w:t xml:space="preserve">ó </w:t>
      </w:r>
      <w:r>
        <w:rPr>
          <w:rFonts w:eastAsia="Arial" w:cs="Arial" w:ascii="Arial" w:hAnsi="Arial"/>
          <w:b w:val="false"/>
          <w:bCs w:val="false"/>
          <w:i/>
          <w:color w:val="000000"/>
          <w:sz w:val="22"/>
          <w:szCs w:val="22"/>
          <w:highlight w:val="white"/>
          <w:u w:val="none"/>
          <w:lang w:val="ca-ES"/>
        </w:rPr>
        <w:t xml:space="preserve">del servei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 per participar a la licitació i no incorre en cap de les prohibicions de contractar</w:t>
      </w:r>
      <w:r>
        <w:rPr>
          <w:rFonts w:ascii="Arial" w:hAnsi="Arial"/>
          <w:i/>
          <w:iCs/>
          <w:color w:val="000000"/>
          <w:sz w:val="22"/>
          <w:szCs w:val="22"/>
          <w:lang w:val="ca-ES"/>
        </w:rPr>
        <w:t xml:space="preserve"> amb l'Administració. </w:t>
      </w:r>
    </w:p>
    <w:p>
      <w:pPr>
        <w:pStyle w:val="Cosdeltext"/>
        <w:numPr>
          <w:ilvl w:val="0"/>
          <w:numId w:val="2"/>
        </w:numP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2.-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2"/>
        </w:numP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3.-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 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numPr>
          <w:ilvl w:val="0"/>
          <w:numId w:val="2"/>
        </w:numP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 Que en cas de resultar proposat com adjudicatari, es compromet a aportar la documentació assenyalada en la clàusula VI del present plec.</w:t>
      </w:r>
    </w:p>
    <w:p>
      <w:pPr>
        <w:pStyle w:val="Cosdeltext"/>
        <w:numPr>
          <w:ilvl w:val="0"/>
          <w:numId w:val="2"/>
        </w:numP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 xml:space="preserve">8.-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que cobreixi les necessitats objecte del contracte, d'acord amb la clàusula XI d'aquest plec.</w:t>
      </w:r>
    </w:p>
    <w:p>
      <w:pPr>
        <w:pStyle w:val="Cosdeltext"/>
        <w:numPr>
          <w:ilvl w:val="0"/>
          <w:numId w:val="2"/>
        </w:numPr>
        <w:spacing w:lineRule="auto" w:line="276" w:before="0" w:after="0"/>
        <w:ind w:left="0" w:right="0" w:hanging="0"/>
        <w:jc w:val="both"/>
        <w:rPr>
          <w:rFonts w:ascii="Arial" w:hAnsi="Arial" w:eastAsia="Arial" w:cs="Arial"/>
          <w:b w:val="false"/>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 xml:space="preserve">9.- 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 xml:space="preserve">10.- </w:t>
      </w:r>
      <w:r>
        <w:rPr>
          <w:rFonts w:eastAsia="Helv" w:cs="Helv" w:ascii="Arial" w:hAnsi="Arial"/>
          <w:b w:val="false"/>
          <w:i/>
          <w:iCs/>
          <w:color w:val="000000"/>
          <w:sz w:val="22"/>
          <w:szCs w:val="22"/>
          <w:lang w:val="ca-ES"/>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2"/>
        </w:numPr>
        <w:spacing w:lineRule="auto" w:line="276" w:before="0" w:after="0"/>
        <w:ind w:left="0" w:right="0" w:hanging="0"/>
        <w:jc w:val="both"/>
        <w:rPr>
          <w:rFonts w:ascii="Arial" w:hAnsi="Arial" w:eastAsia="Helv" w:cs="Helv"/>
          <w:b w:val="false"/>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En el supòsit que aquestes empreses tinguin relació amb els paradisos fiscals sense incórrer en les actuacions il·legals descrites a l'apartat anterior, 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2"/>
        </w:numPr>
        <w:spacing w:lineRule="auto" w:line="276" w:before="0" w:after="0"/>
        <w:ind w:left="0" w:right="0" w:hanging="0"/>
        <w:jc w:val="both"/>
        <w:rPr>
          <w:rFonts w:ascii="Arial" w:hAnsi="Arial" w:eastAsia="Arial" w:cs="Arial"/>
          <w:b w:val="false"/>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spacing w:lineRule="auto" w:line="276" w:before="0" w:after="0"/>
        <w:ind w:left="0" w:right="0" w:hanging="0"/>
        <w:jc w:val="both"/>
        <w:rPr>
          <w:i/>
          <w:i/>
          <w:iCs/>
        </w:rPr>
      </w:pPr>
      <w:r>
        <w:rPr>
          <w:rFonts w:eastAsia="Arial" w:cs="Arial" w:ascii="Arial" w:hAnsi="Arial"/>
          <w:b w:val="false"/>
          <w:i/>
          <w:iCs/>
          <w:color w:val="000000"/>
          <w:sz w:val="22"/>
          <w:szCs w:val="22"/>
          <w:lang w:val="ca-ES"/>
        </w:rPr>
        <w:t xml:space="preserve">11.-  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2"/>
        </w:numPr>
        <w:spacing w:lineRule="auto" w:line="276" w:before="0" w:after="0"/>
        <w:ind w:left="0" w:right="0" w:hanging="0"/>
        <w:jc w:val="both"/>
        <w:rPr>
          <w:rFonts w:ascii="Arial" w:hAnsi="Arial" w:eastAsia="Helv" w:cs="Helv"/>
          <w:b w:val="false"/>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 xml:space="preserve">12.- Que no discriminarà per raó de gènere, evitant a més, en tots els casos, l’ús del llenguatge i imatges sexistes. Aquesta obligació és extensiva a la documentació que presentin els licitadors. </w:t>
      </w:r>
    </w:p>
    <w:p>
      <w:pPr>
        <w:pStyle w:val="Cosdeltext"/>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13.- Que el licitador compleix amb tots els requisits de gestió ambiental que disposa l’Ajuntament de Granollers.</w:t>
      </w:r>
    </w:p>
    <w:p>
      <w:pPr>
        <w:pStyle w:val="Cosdeltext"/>
        <w:numPr>
          <w:ilvl w:val="0"/>
          <w:numId w:val="2"/>
        </w:numPr>
        <w:spacing w:lineRule="auto" w:line="276" w:before="0" w:after="0"/>
        <w:ind w:left="0" w:right="0" w:hanging="0"/>
        <w:jc w:val="both"/>
        <w:rPr>
          <w:rFonts w:ascii="Arial" w:hAnsi="Arial"/>
          <w:b w:val="false"/>
          <w:b w:val="false"/>
          <w:bCs w:val="false"/>
          <w:i/>
          <w:i/>
          <w:iCs/>
          <w:color w:val="000000"/>
          <w:sz w:val="22"/>
          <w:szCs w:val="22"/>
          <w:highlight w:val="white"/>
          <w:lang w:val="ca-ES" w:eastAsia="zh-CN" w:bidi="hi-IN"/>
        </w:rPr>
      </w:pPr>
      <w:r>
        <w:rPr>
          <w:rFonts w:ascii="Arial" w:hAnsi="Arial"/>
          <w:b w:val="false"/>
          <w:bCs w:val="false"/>
          <w:i/>
          <w:iCs/>
          <w:color w:val="000000"/>
          <w:sz w:val="22"/>
          <w:szCs w:val="22"/>
          <w:highlight w:val="white"/>
          <w:lang w:val="ca-ES" w:eastAsia="zh-CN" w:bidi="hi-IN"/>
        </w:rPr>
      </w:r>
    </w:p>
    <w:p>
      <w:pPr>
        <w:pStyle w:val="Cosdeltext"/>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 xml:space="preserve">14.- </w:t>
      </w:r>
      <w:r>
        <w:rPr>
          <w:rFonts w:eastAsia="Times New Roman" w:cs="Times New Roman" w:ascii="Arial" w:hAnsi="Arial"/>
          <w:b w:val="false"/>
          <w:bCs w:val="false"/>
          <w:i/>
          <w:iCs/>
          <w:color w:val="000000"/>
          <w:sz w:val="22"/>
          <w:szCs w:val="22"/>
          <w:highlight w:val="white"/>
          <w:u w:val="none"/>
          <w:lang w:val="ca-ES" w:eastAsia="zh-CN" w:bidi="hi-IN"/>
        </w:rPr>
        <w:t xml:space="preserve">Que es disposa de l’avaluació de riscos laborals conforme la normativa vigent. </w:t>
      </w:r>
    </w:p>
    <w:p>
      <w:pPr>
        <w:pStyle w:val="Cosdeltext"/>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highlight w:val="white"/>
          <w:u w:val="none"/>
          <w:lang w:val="ca-ES" w:eastAsia="zh-CN" w:bidi="hi-IN"/>
        </w:rPr>
      </w:pPr>
      <w:r>
        <w:rPr>
          <w:rFonts w:eastAsia="Times New Roman" w:cs="Times New Roman" w:ascii="Arial" w:hAnsi="Arial"/>
          <w:b w:val="false"/>
          <w:bCs w:val="false"/>
          <w:i/>
          <w:iCs/>
          <w:color w:val="000000"/>
          <w:sz w:val="22"/>
          <w:szCs w:val="22"/>
          <w:highlight w:val="white"/>
          <w:u w:val="none"/>
          <w:lang w:val="ca-ES" w:eastAsia="zh-CN" w:bidi="hi-IN"/>
        </w:rPr>
      </w:r>
    </w:p>
    <w:p>
      <w:pPr>
        <w:pStyle w:val="Cosdeltext"/>
        <w:numPr>
          <w:ilvl w:val="0"/>
          <w:numId w:val="2"/>
        </w:numPr>
        <w:spacing w:lineRule="auto" w:line="276"/>
        <w:ind w:left="0" w:right="0" w:hanging="0"/>
        <w:jc w:val="both"/>
        <w:rPr>
          <w:rFonts w:ascii="Arial" w:hAnsi="Arial"/>
          <w:i/>
          <w:i/>
          <w:iCs/>
          <w:color w:val="000000"/>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15.- </w:t>
      </w:r>
      <w:r>
        <w:rPr>
          <w:rFonts w:eastAsia="Times New Roman" w:cs="Times New Roman" w:ascii="Arial" w:hAnsi="Arial"/>
          <w:b w:val="false"/>
          <w:bCs w:val="false"/>
          <w:i/>
          <w:iCs/>
          <w:color w:val="auto"/>
          <w:sz w:val="22"/>
          <w:szCs w:val="22"/>
          <w:u w:val="none"/>
          <w:lang w:val="ca-ES" w:eastAsia="zh-CN" w:bidi="hi-IN"/>
        </w:rPr>
        <w:t xml:space="preserve">Que d’acord amb la normativa vigent, declara ser: </w:t>
      </w:r>
      <w:r>
        <w:rP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No PIME</w:t>
      </w:r>
    </w:p>
    <w:p>
      <w:pPr>
        <w:pStyle w:val="Normal"/>
        <w:widowControl/>
        <w:numPr>
          <w:ilvl w:val="0"/>
          <w:numId w:val="2"/>
        </w:numP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16.- 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Menys de 50    </w:t>
        <w:tab/>
        <w:t xml:space="preserve"> □ 50 o més </w:t>
      </w:r>
    </w:p>
    <w:p>
      <w:pPr>
        <w:pStyle w:val="Cosdeltext"/>
        <w:widowControl/>
        <w:numPr>
          <w:ilvl w:val="0"/>
          <w:numId w:val="2"/>
        </w:numP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lang w:val="ca-ES" w:eastAsia="zh-CN" w:bidi="hi-IN"/>
        </w:rPr>
      </w:pPr>
      <w:r>
        <w:rPr>
          <w:rFonts w:eastAsia="Times New Roman" w:cs="Times New Roman" w:ascii="Arial" w:hAnsi="Arial"/>
          <w:b/>
          <w:bCs/>
          <w:i w:val="false"/>
          <w:iCs w:val="false"/>
          <w:color w:val="auto"/>
          <w:sz w:val="22"/>
          <w:szCs w:val="22"/>
          <w:u w:val="single"/>
          <w:lang w:val="ca-ES" w:eastAsia="zh-CN" w:bidi="hi-IN"/>
        </w:rPr>
      </w:r>
    </w:p>
    <w:p>
      <w:pPr>
        <w:pStyle w:val="Cosdeltext"/>
        <w:widowControl/>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eastAsia="Times New Roman" w:cs="Times New Roman"/>
          <w:b w:val="false"/>
          <w:bCs w:val="false"/>
          <w:i/>
          <w:iCs/>
          <w:u w:val="none"/>
          <w:lang w:eastAsia="zh-CN" w:bidi="hi-IN"/>
        </w:rPr>
      </w:r>
    </w:p>
    <w:p>
      <w:pPr>
        <w:pStyle w:val="Cosdeltext"/>
        <w:spacing w:lineRule="auto" w:line="276"/>
        <w:jc w:val="both"/>
        <w:rPr/>
      </w:pPr>
      <w:r>
        <w:rPr>
          <w:rFonts w:ascii="Arial" w:hAnsi="Arial"/>
          <w:b/>
          <w:bCs/>
          <w:i/>
          <w:iCs/>
          <w:color w:val="000000"/>
          <w:sz w:val="22"/>
          <w:szCs w:val="22"/>
          <w:u w:val="none"/>
          <w:lang w:val="ca-ES"/>
        </w:rPr>
        <w:t>ALTRES DECLARACIONS RESPONSABLES:</w:t>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d’estar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 i/o de l'Administració de l'Estat (</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 autoritza a l’Ajuntament de Granollers a la seva consulta, i declara que la informació continguda és correcta.</w:t>
      </w:r>
    </w:p>
    <w:p>
      <w:pPr>
        <w:pStyle w:val="Cosdeltext"/>
        <w:numPr>
          <w:ilvl w:val="0"/>
          <w:numId w:val="2"/>
        </w:numP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2.-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3.- </w:t>
      </w:r>
      <w:r>
        <w:rPr>
          <w:rFonts w:eastAsia="Helv" w:cs="Helv" w:ascii="Arial" w:hAnsi="Arial"/>
          <w:b w:val="false"/>
          <w:i/>
          <w:iCs/>
          <w:color w:val="000000"/>
          <w:sz w:val="22"/>
          <w:szCs w:val="22"/>
          <w:lang w:val="ca-ES"/>
        </w:rPr>
        <w:t xml:space="preserve">En el cas que el licitador compti amb 50 o més treballadors o treballadores,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 En el supòsit que concorri exempció d'IVA, el licitador haurà de presentar declaració de què es troba exempt, el motiu i que són vigents les circumstàncies que donaren lloc a la dita exempció.</w:t>
      </w:r>
    </w:p>
    <w:p>
      <w:pPr>
        <w:pStyle w:val="Cosdeltext"/>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 xml:space="preserve">6.- 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spacing w:lineRule="auto" w:line="276" w:before="0" w:after="0"/>
        <w:ind w:left="0" w:right="0" w:hanging="0"/>
        <w:jc w:val="both"/>
        <w:rPr>
          <w:rFonts w:ascii="Arial" w:hAnsi="Arial" w:eastAsia="Helv" w:cs="Helv"/>
          <w:b w:val="false"/>
          <w:b w:val="false"/>
          <w:i/>
          <w:i/>
          <w:iCs/>
          <w:color w:val="000000"/>
          <w:sz w:val="22"/>
          <w:szCs w:val="22"/>
          <w:lang w:val="ca-ES"/>
        </w:rPr>
      </w:pPr>
      <w:r>
        <w:rPr>
          <w:rFonts w:eastAsia="Helv" w:cs="Helv" w:ascii="Arial" w:hAnsi="Arial"/>
          <w:b w:val="false"/>
          <w:i/>
          <w:iCs/>
          <w:color w:val="000000"/>
          <w:sz w:val="22"/>
          <w:szCs w:val="22"/>
          <w:lang w:val="ca-ES"/>
        </w:rPr>
      </w:r>
    </w:p>
    <w:p>
      <w:pPr>
        <w:pStyle w:val="Cosdeltext"/>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 xml:space="preserve">8.-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spacing w:lineRule="auto" w:line="276" w:before="0" w:after="0"/>
        <w:ind w:left="0" w:right="0" w:hanging="0"/>
        <w:jc w:val="both"/>
        <w:rPr>
          <w:rFonts w:ascii="Arial" w:hAnsi="Arial" w:eastAsia="Times New Roman" w:cs="Times New Roman"/>
          <w:b w:val="false"/>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2"/>
        </w:numPr>
        <w:bidi w:val="0"/>
        <w:spacing w:lineRule="auto" w:line="276" w:before="57" w:after="57"/>
        <w:ind w:left="0" w:right="0" w:hanging="0"/>
        <w:jc w:val="both"/>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1" distT="0" distB="0" distL="0" distR="0" simplePos="0" locked="0" layoutInCell="1"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1" distT="0" distB="0" distL="0" distR="0" simplePos="0" locked="0" layoutInCell="1"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624" w:hanging="624"/>
      </w:pPr>
      <w:rPr>
        <w:sz w:val="20"/>
        <w:b w:val="false"/>
        <w:rFonts w:ascii="Arial" w:hAnsi="Arial"/>
        <w:color w:val="auto"/>
      </w:rPr>
    </w:lvl>
    <w:lvl w:ilvl="1">
      <w:start w:val="1"/>
      <w:numFmt w:val="bullet"/>
      <w:lvlText w:val=""/>
      <w:lvlJc w:val="left"/>
      <w:pPr>
        <w:tabs>
          <w:tab w:val="num" w:pos="85"/>
        </w:tabs>
        <w:ind w:left="1026" w:hanging="969"/>
      </w:pPr>
      <w:rPr>
        <w:rFonts w:ascii="Symbol" w:hAnsi="Symbol" w:cs="Symbol" w:hint="default"/>
        <w:rFonts w:cs="Symbol"/>
        <w:color w:val="auto"/>
      </w:rPr>
    </w:lvl>
    <w:lvl w:ilvl="2">
      <w:start w:val="1"/>
      <w:numFmt w:val="bullet"/>
      <w:lvlText w:val=""/>
      <w:lvlJc w:val="left"/>
      <w:pPr>
        <w:tabs>
          <w:tab w:val="num" w:pos="85"/>
        </w:tabs>
        <w:ind w:left="1026" w:hanging="969"/>
      </w:pPr>
      <w:rPr>
        <w:rFonts w:ascii="Symbol" w:hAnsi="Symbol" w:cs="Symbol" w:hint="default"/>
        <w:rFonts w:cs="Symbol"/>
        <w:color w:val="auto"/>
      </w:rPr>
    </w:lvl>
    <w:lvl w:ilvl="3">
      <w:start w:val="1"/>
      <w:numFmt w:val="bullet"/>
      <w:lvlText w:val=""/>
      <w:lvlJc w:val="left"/>
      <w:pPr>
        <w:tabs>
          <w:tab w:val="num" w:pos="85"/>
        </w:tabs>
        <w:ind w:left="1026" w:hanging="969"/>
      </w:pPr>
      <w:rPr>
        <w:rFonts w:ascii="Symbol" w:hAnsi="Symbol" w:cs="Symbol" w:hint="default"/>
        <w:rFonts w:cs="Symbol"/>
        <w:color w:val="auto"/>
      </w:rPr>
    </w:lvl>
    <w:lvl w:ilvl="4">
      <w:start w:val="1"/>
      <w:numFmt w:val="bullet"/>
      <w:lvlText w:val=""/>
      <w:lvlJc w:val="left"/>
      <w:pPr>
        <w:tabs>
          <w:tab w:val="num" w:pos="85"/>
        </w:tabs>
        <w:ind w:left="1026" w:hanging="969"/>
      </w:pPr>
      <w:rPr>
        <w:rFonts w:ascii="Symbol" w:hAnsi="Symbol" w:cs="Symbol" w:hint="default"/>
        <w:rFonts w:cs="Symbol"/>
        <w:color w:val="auto"/>
      </w:rPr>
    </w:lvl>
    <w:lvl w:ilvl="5">
      <w:start w:val="1"/>
      <w:numFmt w:val="bullet"/>
      <w:lvlText w:val=""/>
      <w:lvlJc w:val="left"/>
      <w:pPr>
        <w:tabs>
          <w:tab w:val="num" w:pos="85"/>
        </w:tabs>
        <w:ind w:left="1026" w:hanging="969"/>
      </w:pPr>
      <w:rPr>
        <w:rFonts w:ascii="Symbol" w:hAnsi="Symbol" w:cs="Symbol" w:hint="default"/>
        <w:rFonts w:cs="Symbol"/>
        <w:color w:val="auto"/>
      </w:rPr>
    </w:lvl>
    <w:lvl w:ilvl="6">
      <w:start w:val="1"/>
      <w:numFmt w:val="bullet"/>
      <w:lvlText w:val=""/>
      <w:lvlJc w:val="left"/>
      <w:pPr>
        <w:tabs>
          <w:tab w:val="num" w:pos="85"/>
        </w:tabs>
        <w:ind w:left="1026" w:hanging="969"/>
      </w:pPr>
      <w:rPr>
        <w:rFonts w:ascii="Symbol" w:hAnsi="Symbol" w:cs="Symbol" w:hint="default"/>
        <w:rFonts w:cs="Symbol"/>
        <w:color w:val="auto"/>
      </w:rPr>
    </w:lvl>
    <w:lvl w:ilvl="7">
      <w:start w:val="1"/>
      <w:numFmt w:val="bullet"/>
      <w:lvlText w:val=""/>
      <w:lvlJc w:val="left"/>
      <w:pPr>
        <w:tabs>
          <w:tab w:val="num" w:pos="85"/>
        </w:tabs>
        <w:ind w:left="1026" w:hanging="969"/>
      </w:pPr>
      <w:rPr>
        <w:rFonts w:ascii="Symbol" w:hAnsi="Symbol" w:cs="Symbol" w:hint="default"/>
        <w:rFonts w:cs="Symbol"/>
        <w:color w:val="auto"/>
      </w:rPr>
    </w:lvl>
    <w:lvl w:ilvl="8">
      <w:start w:val="1"/>
      <w:numFmt w:val="bullet"/>
      <w:lvlText w:val=""/>
      <w:lvlJc w:val="left"/>
      <w:pPr>
        <w:tabs>
          <w:tab w:val="num" w:pos="85"/>
        </w:tabs>
        <w:ind w:left="1026" w:hanging="969"/>
      </w:pPr>
      <w:rPr>
        <w:rFonts w:ascii="Symbol" w:hAnsi="Symbol" w:cs="Symbol" w:hint="default"/>
        <w:rFonts w:cs="Symbol"/>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0"/>
        <w:szCs w:val="24"/>
        <w:lang w:val="es-E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0"/>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qForma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character" w:styleId="ListLabel1">
    <w:name w:val="ListLabel 1"/>
    <w:qFormat/>
    <w:rPr>
      <w:rFonts w:ascii="Arial" w:hAnsi="Arial"/>
      <w:b w:val="false"/>
      <w:color w:val="auto"/>
      <w:sz w:val="20"/>
      <w:szCs w:val="22"/>
    </w:rPr>
  </w:style>
  <w:style w:type="character" w:styleId="ListLabel2">
    <w:name w:val="ListLabel 2"/>
    <w:qFormat/>
    <w:rPr>
      <w:rFonts w:cs="Symbol"/>
      <w:color w:val="auto"/>
      <w:sz w:val="22"/>
      <w:szCs w:val="22"/>
    </w:rPr>
  </w:style>
  <w:style w:type="character" w:styleId="ListLabel3">
    <w:name w:val="ListLabel 3"/>
    <w:qFormat/>
    <w:rPr>
      <w:rFonts w:cs="Symbol"/>
      <w:color w:val="auto"/>
      <w:sz w:val="22"/>
      <w:szCs w:val="22"/>
    </w:rPr>
  </w:style>
  <w:style w:type="character" w:styleId="ListLabel4">
    <w:name w:val="ListLabel 4"/>
    <w:qFormat/>
    <w:rPr>
      <w:rFonts w:cs="Symbol"/>
      <w:color w:val="auto"/>
      <w:sz w:val="22"/>
      <w:szCs w:val="22"/>
    </w:rPr>
  </w:style>
  <w:style w:type="character" w:styleId="ListLabel5">
    <w:name w:val="ListLabel 5"/>
    <w:qFormat/>
    <w:rPr>
      <w:rFonts w:cs="Symbol"/>
      <w:color w:val="auto"/>
      <w:sz w:val="22"/>
      <w:szCs w:val="22"/>
    </w:rPr>
  </w:style>
  <w:style w:type="character" w:styleId="ListLabel6">
    <w:name w:val="ListLabel 6"/>
    <w:qFormat/>
    <w:rPr>
      <w:rFonts w:cs="Symbol"/>
      <w:color w:val="auto"/>
      <w:sz w:val="22"/>
      <w:szCs w:val="22"/>
    </w:rPr>
  </w:style>
  <w:style w:type="character" w:styleId="ListLabel7">
    <w:name w:val="ListLabel 7"/>
    <w:qFormat/>
    <w:rPr>
      <w:rFonts w:cs="Symbol"/>
      <w:color w:val="auto"/>
      <w:sz w:val="22"/>
      <w:szCs w:val="22"/>
    </w:rPr>
  </w:style>
  <w:style w:type="character" w:styleId="ListLabel8">
    <w:name w:val="ListLabel 8"/>
    <w:qFormat/>
    <w:rPr>
      <w:rFonts w:cs="Symbol"/>
      <w:color w:val="auto"/>
      <w:sz w:val="22"/>
      <w:szCs w:val="22"/>
    </w:rPr>
  </w:style>
  <w:style w:type="character" w:styleId="ListLabel9">
    <w:name w:val="ListLabel 9"/>
    <w:qFormat/>
    <w:rPr>
      <w:rFonts w:cs="Symbol"/>
      <w:color w:val="auto"/>
      <w:sz w:val="22"/>
      <w:szCs w:val="22"/>
    </w:rPr>
  </w:style>
  <w:style w:type="character" w:styleId="ListLabel10">
    <w:name w:val="ListLabel 10"/>
    <w:qFormat/>
    <w:rPr>
      <w:rFonts w:ascii="Arial" w:hAnsi="Arial"/>
      <w:b w:val="false"/>
      <w:color w:val="auto"/>
      <w:sz w:val="22"/>
      <w:szCs w:val="22"/>
    </w:rPr>
  </w:style>
  <w:style w:type="character" w:styleId="ListLabel11">
    <w:name w:val="ListLabel 11"/>
    <w:qFormat/>
    <w:rPr>
      <w:rFonts w:cs="Symbol"/>
      <w:color w:val="auto"/>
      <w:sz w:val="22"/>
      <w:szCs w:val="22"/>
    </w:rPr>
  </w:style>
  <w:style w:type="character" w:styleId="ListLabel12">
    <w:name w:val="ListLabel 12"/>
    <w:qFormat/>
    <w:rPr>
      <w:rFonts w:cs="Symbol"/>
      <w:color w:val="auto"/>
      <w:sz w:val="22"/>
      <w:szCs w:val="22"/>
    </w:rPr>
  </w:style>
  <w:style w:type="character" w:styleId="ListLabel13">
    <w:name w:val="ListLabel 13"/>
    <w:qFormat/>
    <w:rPr>
      <w:rFonts w:cs="Symbol"/>
      <w:color w:val="auto"/>
      <w:sz w:val="22"/>
      <w:szCs w:val="22"/>
    </w:rPr>
  </w:style>
  <w:style w:type="character" w:styleId="ListLabel14">
    <w:name w:val="ListLabel 14"/>
    <w:qFormat/>
    <w:rPr>
      <w:rFonts w:cs="Symbol"/>
      <w:color w:val="auto"/>
      <w:sz w:val="22"/>
      <w:szCs w:val="22"/>
    </w:rPr>
  </w:style>
  <w:style w:type="character" w:styleId="ListLabel15">
    <w:name w:val="ListLabel 15"/>
    <w:qFormat/>
    <w:rPr>
      <w:rFonts w:cs="Symbol"/>
      <w:color w:val="auto"/>
      <w:sz w:val="22"/>
      <w:szCs w:val="22"/>
    </w:rPr>
  </w:style>
  <w:style w:type="character" w:styleId="ListLabel16">
    <w:name w:val="ListLabel 16"/>
    <w:qFormat/>
    <w:rPr>
      <w:rFonts w:cs="Symbol"/>
      <w:color w:val="auto"/>
      <w:sz w:val="22"/>
      <w:szCs w:val="22"/>
    </w:rPr>
  </w:style>
  <w:style w:type="character" w:styleId="ListLabel17">
    <w:name w:val="ListLabel 17"/>
    <w:qFormat/>
    <w:rPr>
      <w:rFonts w:cs="Symbol"/>
      <w:color w:val="auto"/>
      <w:sz w:val="22"/>
      <w:szCs w:val="22"/>
    </w:rPr>
  </w:style>
  <w:style w:type="character" w:styleId="ListLabel18">
    <w:name w:val="ListLabel 18"/>
    <w:qFormat/>
    <w:rPr>
      <w:rFonts w:cs="Symbol"/>
      <w:color w:val="auto"/>
      <w:sz w:val="22"/>
      <w:szCs w:val="22"/>
    </w:rPr>
  </w:style>
  <w:style w:type="character" w:styleId="Smbolsdenumeraci">
    <w:name w:val="Símbols de numeració"/>
    <w:qFormat/>
    <w:rPr>
      <w:color w:val="auto"/>
    </w:rPr>
  </w:style>
  <w:style w:type="character" w:styleId="ListLabel19">
    <w:name w:val="ListLabel 19"/>
    <w:qFormat/>
    <w:rPr>
      <w:rFonts w:ascii="Arial" w:hAnsi="Arial"/>
      <w:b w:val="false"/>
      <w:color w:val="auto"/>
      <w:sz w:val="20"/>
    </w:rPr>
  </w:style>
  <w:style w:type="character" w:styleId="ListLabel20">
    <w:name w:val="ListLabel 20"/>
    <w:qFormat/>
    <w:rPr>
      <w:rFonts w:cs="Symbol"/>
      <w:color w:val="auto"/>
    </w:rPr>
  </w:style>
  <w:style w:type="character" w:styleId="ListLabel21">
    <w:name w:val="ListLabel 21"/>
    <w:qFormat/>
    <w:rPr>
      <w:rFonts w:cs="Symbol"/>
      <w:color w:val="auto"/>
    </w:rPr>
  </w:style>
  <w:style w:type="character" w:styleId="ListLabel22">
    <w:name w:val="ListLabel 22"/>
    <w:qFormat/>
    <w:rPr>
      <w:rFonts w:cs="Symbol"/>
      <w:color w:val="auto"/>
    </w:rPr>
  </w:style>
  <w:style w:type="character" w:styleId="ListLabel23">
    <w:name w:val="ListLabel 23"/>
    <w:qFormat/>
    <w:rPr>
      <w:rFonts w:cs="Symbol"/>
      <w:color w:val="auto"/>
    </w:rPr>
  </w:style>
  <w:style w:type="character" w:styleId="ListLabel24">
    <w:name w:val="ListLabel 24"/>
    <w:qFormat/>
    <w:rPr>
      <w:rFonts w:cs="Symbol"/>
      <w:color w:val="auto"/>
    </w:rPr>
  </w:style>
  <w:style w:type="character" w:styleId="ListLabel25">
    <w:name w:val="ListLabel 25"/>
    <w:qFormat/>
    <w:rPr>
      <w:rFonts w:cs="Symbol"/>
      <w:color w:val="auto"/>
    </w:rPr>
  </w:style>
  <w:style w:type="character" w:styleId="ListLabel26">
    <w:name w:val="ListLabel 26"/>
    <w:qFormat/>
    <w:rPr>
      <w:rFonts w:cs="Symbol"/>
      <w:color w:val="auto"/>
    </w:rPr>
  </w:style>
  <w:style w:type="character" w:styleId="ListLabel27">
    <w:name w:val="ListLabel 27"/>
    <w:qFormat/>
    <w:rPr>
      <w:rFonts w:cs="Symbol"/>
      <w:color w:val="auto"/>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rFonts w:cs="Arial"/>
    </w:rPr>
  </w:style>
  <w:style w:type="paragraph" w:styleId="Ttulo">
    <w:name w:val="Título"/>
    <w:basedOn w:val="Normal"/>
    <w:next w:val="Cosdeltext"/>
    <w:qFormat/>
    <w:pPr>
      <w:keepNext w:val="true"/>
      <w:spacing w:before="240" w:after="120"/>
    </w:pPr>
    <w:rPr>
      <w:rFonts w:ascii="Arial" w:hAnsi="Arial" w:eastAsia="Arial Unicode MS" w:cs="Arial Unicode MS"/>
      <w:sz w:val="28"/>
      <w:szCs w:val="28"/>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Ttulo"/>
    <w:next w:val="Cosdeltext"/>
    <w:qFormat/>
    <w:pPr>
      <w:jc w:val="center"/>
    </w:pPr>
    <w:rPr>
      <w:i/>
      <w:iCs/>
      <w:sz w:val="28"/>
      <w:szCs w:val="28"/>
    </w:rPr>
  </w:style>
  <w:style w:type="paragraph" w:styleId="Contenidodelatabla">
    <w:name w:val="Contenido de la tabla"/>
    <w:basedOn w:val="Normal"/>
    <w:qFormat/>
    <w:pPr>
      <w:suppressLineNumbers/>
      <w:bidi w:val="0"/>
      <w:jc w:val="left"/>
    </w:pPr>
    <w:rPr>
      <w:rFonts w:ascii="Arial" w:hAnsi="Arial"/>
      <w:sz w:val="22"/>
    </w:rPr>
  </w:style>
  <w:style w:type="paragraph" w:styleId="Contingut1">
    <w:name w:val="TOC 1"/>
    <w:basedOn w:val="Ndice"/>
    <w:pPr>
      <w:widowControl/>
      <w:tabs>
        <w:tab w:val="clear" w:pos="720"/>
        <w:tab w:val="right" w:pos="9638" w:leader="dot"/>
      </w:tabs>
      <w:bidi w:val="0"/>
      <w:spacing w:lineRule="exact" w:line="340" w:before="0" w:after="0"/>
      <w:ind w:left="624" w:right="0" w:hanging="624"/>
      <w:contextualSpacing/>
      <w:jc w:val="left"/>
      <w:outlineLvl w:val="0"/>
    </w:pPr>
    <w:rPr>
      <w:rFonts w:ascii="Arial" w:hAnsi="Arial"/>
      <w:b w:val="false"/>
      <w:sz w:val="22"/>
    </w:rPr>
  </w:style>
  <w:style w:type="numbering" w:styleId="WW8Num2">
    <w:name w:val="WW8Num2"/>
    <w:qFormat/>
  </w:style>
  <w:style w:type="numbering" w:styleId="Vieta">
    <w:name w:val="Viñeta –"/>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LibreOffice/6.1.5.2$Windows_X86_64 LibreOffice_project/90f8dcf33c87b3705e78202e3df5142b201bd805</Application>
  <Pages>3</Pages>
  <Words>1054</Words>
  <Characters>6050</Characters>
  <CharactersWithSpaces>7104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2024-07-09T08:35:55Z</dcterms:created>
  <dc:creator/>
  <dc:description/>
  <dc:language>es-ES</dc:language>
  <cp:lastModifiedBy/>
  <dcterms:modified xsi:type="dcterms:W3CDTF">2024-07-11T10:55:35Z</dcterms:modified>
  <cp:revision>6</cp:revision>
  <dc:subject/>
  <dc:title>Carta Contractació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