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«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servei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color w:val="2A6099"/>
          <w:sz w:val="22"/>
          <w:szCs w:val="22"/>
          <w:lang w:val="ca-ES" w:eastAsia="zh-CN" w:bidi="hi-IN"/>
        </w:rPr>
        <w:t>(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lang w:val="ca-ES" w:eastAsia="zh-CN" w:bidi="hi-IN"/>
        </w:rPr>
        <w:t xml:space="preserve">cal indicar el/s lot/s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lang w:val="ca-ES" w:eastAsia="zh-CN" w:bidi="hi-IN"/>
        </w:rPr>
        <w:t>a què es presenten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lang w:val="ca-ES" w:eastAsia="zh-CN" w:bidi="hi-IN"/>
        </w:rPr>
        <w:t>).</w:t>
      </w:r>
    </w:p>
    <w:p>
      <w:pPr>
        <w:pStyle w:val="Subtto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o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s.</w:t>
      </w:r>
    </w:p>
    <w:p>
      <w:pPr>
        <w:pStyle w:val="Cosdeltext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base de licitació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 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cs="Arial"/>
          <w:color w:val="2A6099"/>
        </w:rPr>
      </w:pPr>
      <w:r>
        <w:rPr>
          <w:rFonts w:eastAsia="Arial" w:cs="Arial" w:ascii="Arial" w:hAnsi="Arial"/>
          <w:b w:val="false"/>
          <w:bCs w:val="false"/>
          <w:i/>
          <w:iCs/>
          <w:color w:val="auto"/>
          <w:sz w:val="20"/>
          <w:szCs w:val="20"/>
          <w:u w:val="none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>B.- Criteris automàtics</w:t>
      </w:r>
    </w:p>
    <w:p>
      <w:pPr>
        <w:pStyle w:val="Contingut1"/>
        <w:numPr>
          <w:ilvl w:val="0"/>
          <w:numId w:val="0"/>
        </w:numPr>
        <w:pBdr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ontingut1"/>
        <w:numPr>
          <w:ilvl w:val="0"/>
          <w:numId w:val="0"/>
        </w:numPr>
        <w:pBdr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ontingut1"/>
        <w:numPr>
          <w:ilvl w:val="0"/>
          <w:numId w:val="0"/>
        </w:numPr>
        <w:pBdr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ol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 w:bidi="hi-IN"/>
        </w:rPr>
        <w:t>(Lloc, data i signatura del licitador)</w:t>
      </w:r>
      <w:r>
        <w:rPr>
          <w:rFonts w:eastAsia="Arial" w:cs="Arial"/>
          <w:b/>
          <w:bCs/>
          <w:i/>
          <w:iCs/>
          <w:color w:val="000000"/>
          <w:sz w:val="22"/>
          <w:szCs w:val="22"/>
          <w:u w:val="none"/>
          <w:lang w:val="ca-ES" w:eastAsia="zh-CN" w:bidi="hi-IN"/>
        </w:rPr>
        <w:t>.</w:t>
      </w:r>
      <w:r>
        <w:rPr>
          <w:rFonts w:eastAsia="Arial" w:cs="Arial"/>
          <w:b w:val="false"/>
          <w:bCs w:val="false"/>
          <w:i/>
          <w:iCs/>
          <w:color w:val="000000"/>
          <w:sz w:val="22"/>
          <w:szCs w:val="22"/>
          <w:u w:val="none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character" w:styleId="ListLabel1">
    <w:name w:val="ListLabel 1"/>
    <w:qFormat/>
    <w:rPr>
      <w:rFonts w:ascii="Arial" w:hAnsi="Arial"/>
      <w:b/>
      <w:color w:val="auto"/>
      <w:sz w:val="20"/>
      <w:szCs w:val="22"/>
    </w:rPr>
  </w:style>
  <w:style w:type="character" w:styleId="ListLabel2">
    <w:name w:val="ListLabel 2"/>
    <w:qFormat/>
    <w:rPr>
      <w:rFonts w:cs="Symbol"/>
      <w:color w:val="auto"/>
      <w:sz w:val="22"/>
      <w:szCs w:val="22"/>
    </w:rPr>
  </w:style>
  <w:style w:type="character" w:styleId="ListLabel3">
    <w:name w:val="ListLabel 3"/>
    <w:qFormat/>
    <w:rPr>
      <w:rFonts w:cs="Symbol"/>
      <w:color w:val="auto"/>
      <w:sz w:val="22"/>
      <w:szCs w:val="22"/>
    </w:rPr>
  </w:style>
  <w:style w:type="character" w:styleId="ListLabel4">
    <w:name w:val="ListLabel 4"/>
    <w:qFormat/>
    <w:rPr>
      <w:rFonts w:cs="Symbol"/>
      <w:color w:val="auto"/>
      <w:sz w:val="22"/>
      <w:szCs w:val="22"/>
    </w:rPr>
  </w:style>
  <w:style w:type="character" w:styleId="ListLabel5">
    <w:name w:val="ListLabel 5"/>
    <w:qFormat/>
    <w:rPr>
      <w:rFonts w:cs="Symbol"/>
      <w:color w:val="auto"/>
      <w:sz w:val="22"/>
      <w:szCs w:val="22"/>
    </w:rPr>
  </w:style>
  <w:style w:type="character" w:styleId="ListLabel6">
    <w:name w:val="ListLabel 6"/>
    <w:qFormat/>
    <w:rPr>
      <w:rFonts w:cs="Symbol"/>
      <w:color w:val="auto"/>
      <w:sz w:val="22"/>
      <w:szCs w:val="22"/>
    </w:rPr>
  </w:style>
  <w:style w:type="character" w:styleId="ListLabel7">
    <w:name w:val="ListLabel 7"/>
    <w:qFormat/>
    <w:rPr>
      <w:rFonts w:cs="Symbol"/>
      <w:color w:val="auto"/>
      <w:sz w:val="22"/>
      <w:szCs w:val="22"/>
    </w:rPr>
  </w:style>
  <w:style w:type="character" w:styleId="ListLabel8">
    <w:name w:val="ListLabel 8"/>
    <w:qFormat/>
    <w:rPr>
      <w:rFonts w:cs="Symbol"/>
      <w:color w:val="auto"/>
      <w:sz w:val="22"/>
      <w:szCs w:val="22"/>
    </w:rPr>
  </w:style>
  <w:style w:type="character" w:styleId="ListLabel9">
    <w:name w:val="ListLabel 9"/>
    <w:qFormat/>
    <w:rPr>
      <w:rFonts w:cs="Symbol"/>
      <w:color w:val="auto"/>
      <w:sz w:val="22"/>
      <w:szCs w:val="22"/>
    </w:rPr>
  </w:style>
  <w:style w:type="character" w:styleId="Smbolsdenumeraci">
    <w:name w:val="Símbols de numeració"/>
    <w:qFormat/>
    <w:rPr>
      <w:color w:val="auto"/>
    </w:rPr>
  </w:style>
  <w:style w:type="character" w:styleId="ListLabel10">
    <w:name w:val="ListLabel 10"/>
    <w:qFormat/>
    <w:rPr>
      <w:rFonts w:ascii="Arial" w:hAnsi="Arial"/>
      <w:b/>
      <w:color w:val="auto"/>
      <w:sz w:val="20"/>
    </w:rPr>
  </w:style>
  <w:style w:type="character" w:styleId="ListLabel11">
    <w:name w:val="ListLabel 11"/>
    <w:qFormat/>
    <w:rPr>
      <w:rFonts w:cs="Symbol"/>
      <w:color w:val="auto"/>
    </w:rPr>
  </w:style>
  <w:style w:type="character" w:styleId="ListLabel12">
    <w:name w:val="ListLabel 12"/>
    <w:qFormat/>
    <w:rPr>
      <w:rFonts w:cs="Symbol"/>
      <w:color w:val="auto"/>
    </w:rPr>
  </w:style>
  <w:style w:type="character" w:styleId="ListLabel13">
    <w:name w:val="ListLabel 13"/>
    <w:qFormat/>
    <w:rPr>
      <w:rFonts w:cs="Symbol"/>
      <w:color w:val="auto"/>
    </w:rPr>
  </w:style>
  <w:style w:type="character" w:styleId="ListLabel14">
    <w:name w:val="ListLabel 14"/>
    <w:qFormat/>
    <w:rPr>
      <w:rFonts w:cs="Symbol"/>
      <w:color w:val="auto"/>
    </w:rPr>
  </w:style>
  <w:style w:type="character" w:styleId="ListLabel15">
    <w:name w:val="ListLabel 15"/>
    <w:qFormat/>
    <w:rPr>
      <w:rFonts w:cs="Symbol"/>
      <w:color w:val="auto"/>
    </w:rPr>
  </w:style>
  <w:style w:type="character" w:styleId="ListLabel16">
    <w:name w:val="ListLabel 16"/>
    <w:qFormat/>
    <w:rPr>
      <w:rFonts w:cs="Symbol"/>
      <w:color w:val="auto"/>
    </w:rPr>
  </w:style>
  <w:style w:type="character" w:styleId="ListLabel17">
    <w:name w:val="ListLabel 17"/>
    <w:qFormat/>
    <w:rPr>
      <w:rFonts w:cs="Symbol"/>
      <w:color w:val="auto"/>
    </w:rPr>
  </w:style>
  <w:style w:type="character" w:styleId="ListLabel18">
    <w:name w:val="ListLabel 18"/>
    <w:qFormat/>
    <w:rPr>
      <w:rFonts w:cs="Symbol"/>
      <w:color w:val="auto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Ttulo">
    <w:name w:val="Título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Ttulo"/>
    <w:next w:val="Cosdeltext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  <w:jc w:val="left"/>
    </w:pPr>
    <w:rPr>
      <w:rFonts w:ascii="Arial" w:hAnsi="Arial"/>
      <w:sz w:val="22"/>
    </w:rPr>
  </w:style>
  <w:style w:type="paragraph" w:styleId="Contingut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jc w:val="left"/>
      <w:outlineLvl w:val="0"/>
    </w:pPr>
    <w:rPr>
      <w:rFonts w:ascii="Arial" w:hAnsi="Arial"/>
      <w:b w:val="false"/>
      <w:sz w:val="22"/>
    </w:rPr>
  </w:style>
  <w:style w:type="paragraph" w:styleId="Default">
    <w:name w:val="Default"/>
    <w:qFormat/>
    <w:pPr>
      <w:widowControl w:val="false"/>
      <w:bidi w:val="0"/>
      <w:jc w:val="left"/>
    </w:pPr>
    <w:rPr>
      <w:rFonts w:ascii="Arial" w:hAnsi="Arial" w:eastAsia="Arial Unicode MS" w:cs="Arial Unicode MS"/>
      <w:color w:val="000000"/>
      <w:kern w:val="0"/>
      <w:sz w:val="24"/>
      <w:szCs w:val="24"/>
      <w:lang w:val="es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LibreOffice/6.1.5.2$Windows_X86_64 LibreOffice_project/90f8dcf33c87b3705e78202e3df5142b201bd805</Application>
  <Pages>1</Pages>
  <Words>186</Words>
  <Characters>1262</Characters>
  <CharactersWithSpaces>1445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2024-07-09T08:35:55Z</dcterms:created>
  <dc:creator/>
  <dc:description/>
  <dc:language>es-ES</dc:language>
  <cp:lastModifiedBy/>
  <dcterms:modified xsi:type="dcterms:W3CDTF">2024-07-11T11:08:08Z</dcterms:modified>
  <cp:revision>4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