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1DC41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b/>
          <w:bCs/>
          <w:color w:val="000000"/>
        </w:rPr>
        <w:t>ANNEX 8. DECLARACIÓ RESPONSABLE SOBRE EL COMPLIMENT DEL PRINCIPI DE NO CAUSAR PERJUDICI SIGNIFICATIU ALS SIS OBJECTIUS MEDIAMBIENTALS EN EL SENTIT DE L’ARTICLE 17 DEL REGLAMENT (UE) 2020/852</w:t>
      </w:r>
    </w:p>
    <w:p w14:paraId="57AD3AB8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Expedient:</w:t>
      </w:r>
    </w:p>
    <w:p w14:paraId="7ADAE3EC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Contracte:</w:t>
      </w:r>
    </w:p>
    <w:p w14:paraId="1593B1E8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Component del Pla de Recuperació, Transformació i Resiliència (PRTR) al qual pertany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l’activitat:</w:t>
      </w:r>
    </w:p>
    <w:p w14:paraId="11BAAC62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Mesura del component PRTR a què pertany l’activitat indicant, si escau, la submesura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365F91"/>
        </w:rPr>
        <w:t>:</w:t>
      </w:r>
    </w:p>
    <w:p w14:paraId="167B25D8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Etiquetatge climàtic i mediambiental assignat a la mesura (reforma o inversió) o a la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submesura del PRTR (si la mesura no disposa d’etiqueta assignada que reconegui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 xml:space="preserve">contribució climàtica i mediambiental, cal indicar “sense etiqueta”): </w:t>
      </w:r>
    </w:p>
    <w:p w14:paraId="58B25D17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Jo, el sotasignat/ada, ............................................................, amb DNI ..........................., en nom propi / en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representació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de</w:t>
      </w:r>
      <w:r w:rsidRPr="00CB42A1">
        <w:rPr>
          <w:rFonts w:ascii="Gotham" w:hAnsi="Gotham" w:cs="Arial"/>
          <w:color w:val="000000"/>
          <w:spacing w:val="-6"/>
        </w:rPr>
        <w:t xml:space="preserve"> </w:t>
      </w:r>
      <w:r w:rsidRPr="00CB42A1">
        <w:rPr>
          <w:rFonts w:ascii="Gotham" w:hAnsi="Gotham" w:cs="Arial"/>
          <w:color w:val="000000"/>
        </w:rPr>
        <w:t>l’entitat ......................................,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amb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NIF......................, en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qualitat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de.............................,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com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 participant en el procediment d’adjudicació del contracte indicat, sota la meva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responsabilitat,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en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matèria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mediambiental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b/>
          <w:bCs/>
          <w:color w:val="000000"/>
        </w:rPr>
        <w:t>declaro</w:t>
      </w:r>
      <w:r w:rsidRPr="00CB42A1">
        <w:rPr>
          <w:rFonts w:ascii="Gotham" w:hAnsi="Gotham" w:cs="Arial"/>
          <w:b/>
          <w:bCs/>
          <w:color w:val="000000"/>
          <w:spacing w:val="2"/>
        </w:rPr>
        <w:t xml:space="preserve"> </w:t>
      </w:r>
      <w:r w:rsidRPr="00CB42A1">
        <w:rPr>
          <w:rFonts w:ascii="Gotham" w:hAnsi="Gotham" w:cs="Arial"/>
          <w:b/>
          <w:bCs/>
          <w:color w:val="000000"/>
        </w:rPr>
        <w:t>que</w:t>
      </w:r>
      <w:r w:rsidRPr="00CB42A1">
        <w:rPr>
          <w:rFonts w:ascii="Gotham" w:hAnsi="Gotham" w:cs="Arial"/>
          <w:color w:val="000000"/>
        </w:rPr>
        <w:t>:</w:t>
      </w:r>
    </w:p>
    <w:p w14:paraId="1496A753" w14:textId="77777777" w:rsidR="00CB42A1" w:rsidRPr="00CB42A1" w:rsidRDefault="00CB42A1" w:rsidP="00CB42A1">
      <w:pPr>
        <w:numPr>
          <w:ilvl w:val="0"/>
          <w:numId w:val="26"/>
        </w:numPr>
        <w:spacing w:before="100" w:beforeAutospacing="1" w:line="278" w:lineRule="atLeast"/>
        <w:ind w:left="100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Les activitats que es desenvolupen no ocasionen un perjudici significatiu als següents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objectius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mediambientals:</w:t>
      </w:r>
    </w:p>
    <w:p w14:paraId="729DE208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Mitigació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del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canvi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climàtic.</w:t>
      </w:r>
    </w:p>
    <w:p w14:paraId="2DF546AB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Adaptació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al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canvi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climàtic.</w:t>
      </w:r>
    </w:p>
    <w:p w14:paraId="35A4C80B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Ús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sostenible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protecció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recursos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hídrics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marins.</w:t>
      </w:r>
    </w:p>
    <w:p w14:paraId="0D9B1123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Economia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circular,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inclosos la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prevenció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el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reciclatge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residus.</w:t>
      </w:r>
    </w:p>
    <w:p w14:paraId="10ED159A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Prevenció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control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la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contaminació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l’atmosfera,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l’aigua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o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sòl.</w:t>
      </w:r>
    </w:p>
    <w:p w14:paraId="72627D06" w14:textId="77777777" w:rsidR="00CB42A1" w:rsidRPr="00CB42A1" w:rsidRDefault="00CB42A1" w:rsidP="00CB42A1">
      <w:pPr>
        <w:numPr>
          <w:ilvl w:val="1"/>
          <w:numId w:val="26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Protecció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restauració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biodiversitat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i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els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ecosistemes.</w:t>
      </w:r>
    </w:p>
    <w:p w14:paraId="466805AE" w14:textId="77777777" w:rsidR="00CB42A1" w:rsidRPr="00CB42A1" w:rsidRDefault="00CB42A1" w:rsidP="00CB42A1">
      <w:pPr>
        <w:numPr>
          <w:ilvl w:val="0"/>
          <w:numId w:val="27"/>
        </w:numPr>
        <w:spacing w:before="100" w:beforeAutospacing="1" w:line="278" w:lineRule="atLeast"/>
        <w:ind w:left="100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Les activitats s’adeqüen, si escau, a les característiques fixades per a la mesura i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submesura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component i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reflectides en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Pla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2"/>
        </w:rPr>
        <w:t xml:space="preserve"> R</w:t>
      </w:r>
      <w:r w:rsidRPr="00CB42A1">
        <w:rPr>
          <w:rFonts w:ascii="Gotham" w:hAnsi="Gotham"/>
          <w:color w:val="000000"/>
        </w:rPr>
        <w:t>ecuperació,</w:t>
      </w:r>
      <w:r w:rsidRPr="00CB42A1">
        <w:rPr>
          <w:rFonts w:ascii="Gotham" w:hAnsi="Gotham"/>
          <w:color w:val="000000"/>
          <w:spacing w:val="-2"/>
        </w:rPr>
        <w:t xml:space="preserve"> T</w:t>
      </w:r>
      <w:r w:rsidRPr="00CB42A1">
        <w:rPr>
          <w:rFonts w:ascii="Gotham" w:hAnsi="Gotham"/>
          <w:color w:val="000000"/>
        </w:rPr>
        <w:t>ransformació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i Resiliència.</w:t>
      </w:r>
    </w:p>
    <w:p w14:paraId="0B3CC73D" w14:textId="77777777" w:rsidR="00CB42A1" w:rsidRPr="00CB42A1" w:rsidRDefault="00CB42A1" w:rsidP="00CB42A1">
      <w:pPr>
        <w:numPr>
          <w:ilvl w:val="0"/>
          <w:numId w:val="28"/>
        </w:numPr>
        <w:spacing w:before="100" w:beforeAutospacing="1" w:line="278" w:lineRule="atLeast"/>
        <w:ind w:left="100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Les activitats que es desenvolupen en el projecte compliran amb la normativa mediambiental vigent que sigui aplicable.</w:t>
      </w:r>
    </w:p>
    <w:p w14:paraId="5A4E3CA3" w14:textId="77777777" w:rsidR="00CB42A1" w:rsidRPr="00CB42A1" w:rsidRDefault="00CB42A1" w:rsidP="00CB42A1">
      <w:pPr>
        <w:spacing w:before="100" w:beforeAutospacing="1" w:line="278" w:lineRule="atLeast"/>
        <w:ind w:right="454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Les activitats que es desenvolupen no estan excloses per al finançament pel Pla de</w:t>
      </w:r>
      <w:r w:rsidRPr="00CB42A1">
        <w:rPr>
          <w:rFonts w:ascii="Gotham" w:hAnsi="Gotham" w:cs="Arial"/>
          <w:color w:val="000000"/>
          <w:spacing w:val="2"/>
        </w:rPr>
        <w:t xml:space="preserve"> R</w:t>
      </w:r>
      <w:r w:rsidRPr="00CB42A1">
        <w:rPr>
          <w:rFonts w:ascii="Gotham" w:hAnsi="Gotham" w:cs="Arial"/>
          <w:color w:val="000000"/>
        </w:rPr>
        <w:t xml:space="preserve">ecuperació, Transformació i Resiliència d’acord amb la </w:t>
      </w:r>
      <w:hyperlink r:id="rId8" w:history="1">
        <w:r w:rsidRPr="00CB42A1">
          <w:rPr>
            <w:rFonts w:ascii="Gotham" w:hAnsi="Gotham" w:cs="Arial"/>
            <w:color w:val="800080"/>
            <w:u w:val="single"/>
          </w:rPr>
          <w:t>Guia tècnica sobre l’aplicació del</w:t>
        </w:r>
      </w:hyperlink>
      <w:r w:rsidRPr="00CB42A1">
        <w:rPr>
          <w:rFonts w:ascii="Gotham" w:hAnsi="Gotham" w:cs="Arial"/>
          <w:color w:val="800080"/>
          <w:spacing w:val="2"/>
        </w:rPr>
        <w:t xml:space="preserve"> </w:t>
      </w:r>
      <w:hyperlink r:id="rId9" w:history="1">
        <w:r w:rsidRPr="00CB42A1">
          <w:rPr>
            <w:rFonts w:ascii="Gotham" w:hAnsi="Gotham" w:cs="Arial"/>
            <w:color w:val="800080"/>
            <w:u w:val="single"/>
          </w:rPr>
          <w:t>principi “no causar un perjudici significatiu” en virtut del Reglament relatiu al Mecanisme de</w:t>
        </w:r>
      </w:hyperlink>
      <w:r w:rsidRPr="00CB42A1">
        <w:rPr>
          <w:rFonts w:ascii="Gotham" w:hAnsi="Gotham" w:cs="Arial"/>
          <w:color w:val="800080"/>
          <w:spacing w:val="-60"/>
        </w:rPr>
        <w:t xml:space="preserve"> </w:t>
      </w:r>
      <w:hyperlink r:id="rId10" w:history="1">
        <w:r w:rsidRPr="00CB42A1">
          <w:rPr>
            <w:rFonts w:ascii="Gotham" w:hAnsi="Gotham" w:cs="Arial"/>
            <w:color w:val="800080"/>
            <w:u w:val="single"/>
          </w:rPr>
          <w:t>Recuperació i Resiliència (2021/C 58/01)</w:t>
        </w:r>
      </w:hyperlink>
      <w:r w:rsidRPr="00CB42A1">
        <w:rPr>
          <w:rFonts w:ascii="Gotham" w:hAnsi="Gotham" w:cs="Arial"/>
          <w:color w:val="000000"/>
        </w:rPr>
        <w:t xml:space="preserve">, a la </w:t>
      </w:r>
      <w:hyperlink r:id="rId11" w:history="1">
        <w:r w:rsidRPr="00CB42A1">
          <w:rPr>
            <w:rFonts w:ascii="Gotham" w:hAnsi="Gotham" w:cs="Arial"/>
            <w:color w:val="0563C1"/>
            <w:u w:val="single"/>
          </w:rPr>
          <w:t xml:space="preserve">Proposta de </w:t>
        </w:r>
      </w:hyperlink>
      <w:hyperlink r:id="rId12" w:history="1">
        <w:r w:rsidRPr="00CB42A1">
          <w:rPr>
            <w:rFonts w:ascii="Gotham" w:hAnsi="Gotham" w:cs="Arial"/>
            <w:color w:val="0563C1"/>
            <w:u w:val="single"/>
          </w:rPr>
          <w:t>Decisió d’execució del Consel</w:t>
        </w:r>
      </w:hyperlink>
      <w:hyperlink r:id="rId13" w:history="1">
        <w:r w:rsidRPr="00CB42A1">
          <w:rPr>
            <w:rFonts w:ascii="Gotham" w:hAnsi="Gotham" w:cs="Arial"/>
            <w:color w:val="800080"/>
            <w:u w:val="single"/>
          </w:rPr>
          <w:t>l</w:t>
        </w:r>
      </w:hyperlink>
      <w:r w:rsidRPr="00CB42A1">
        <w:rPr>
          <w:rFonts w:ascii="Gotham" w:hAnsi="Gotham" w:cs="Arial"/>
          <w:color w:val="800080"/>
          <w:spacing w:val="2"/>
        </w:rPr>
        <w:t xml:space="preserve"> </w:t>
      </w:r>
      <w:hyperlink r:id="rId14" w:history="1">
        <w:r w:rsidRPr="00CB42A1">
          <w:rPr>
            <w:rFonts w:ascii="Gotham" w:hAnsi="Gotham" w:cs="Arial"/>
            <w:color w:val="800080"/>
            <w:u w:val="single"/>
          </w:rPr>
          <w:t xml:space="preserve">relativa a l’aprovació de l’avaluació del </w:t>
        </w:r>
      </w:hyperlink>
      <w:hyperlink r:id="rId15" w:history="1">
        <w:r w:rsidRPr="00CB42A1">
          <w:rPr>
            <w:rFonts w:ascii="Gotham" w:hAnsi="Gotham" w:cs="Arial"/>
            <w:color w:val="800080"/>
            <w:u w:val="single"/>
          </w:rPr>
          <w:t>P</w:t>
        </w:r>
      </w:hyperlink>
      <w:hyperlink r:id="rId16" w:history="1">
        <w:r w:rsidRPr="00CB42A1">
          <w:rPr>
            <w:rFonts w:ascii="Gotham" w:hAnsi="Gotham" w:cs="Arial"/>
            <w:color w:val="800080"/>
            <w:u w:val="single"/>
          </w:rPr>
          <w:t xml:space="preserve">la de </w:t>
        </w:r>
      </w:hyperlink>
      <w:hyperlink r:id="rId17" w:history="1">
        <w:r w:rsidRPr="00CB42A1">
          <w:rPr>
            <w:rFonts w:ascii="Gotham" w:hAnsi="Gotham" w:cs="Arial"/>
            <w:color w:val="800080"/>
            <w:u w:val="single"/>
          </w:rPr>
          <w:t>R</w:t>
        </w:r>
      </w:hyperlink>
      <w:hyperlink r:id="rId18" w:history="1">
        <w:r w:rsidRPr="00CB42A1">
          <w:rPr>
            <w:rFonts w:ascii="Gotham" w:hAnsi="Gotham" w:cs="Arial"/>
            <w:color w:val="800080"/>
            <w:u w:val="single"/>
          </w:rPr>
          <w:t xml:space="preserve">ecuperació i </w:t>
        </w:r>
      </w:hyperlink>
      <w:hyperlink r:id="rId19" w:history="1">
        <w:r w:rsidRPr="00CB42A1">
          <w:rPr>
            <w:rFonts w:ascii="Gotham" w:hAnsi="Gotham" w:cs="Arial"/>
            <w:color w:val="800080"/>
            <w:u w:val="single"/>
          </w:rPr>
          <w:t>R</w:t>
        </w:r>
      </w:hyperlink>
      <w:hyperlink r:id="rId20" w:history="1">
        <w:r w:rsidRPr="00CB42A1">
          <w:rPr>
            <w:rFonts w:ascii="Gotham" w:hAnsi="Gotham" w:cs="Arial"/>
            <w:color w:val="800080"/>
            <w:u w:val="single"/>
          </w:rPr>
          <w:t>esiliència d’Espanya</w:t>
        </w:r>
      </w:hyperlink>
      <w:hyperlink r:id="rId21" w:history="1">
        <w:r w:rsidRPr="00CB42A1">
          <w:rPr>
            <w:rFonts w:ascii="Gotham" w:hAnsi="Gotham" w:cs="Arial"/>
            <w:color w:val="800080"/>
            <w:u w:val="single"/>
          </w:rPr>
          <w:t xml:space="preserve"> </w:t>
        </w:r>
      </w:hyperlink>
      <w:r w:rsidRPr="00CB42A1">
        <w:rPr>
          <w:rFonts w:ascii="Gotham" w:hAnsi="Gotham" w:cs="Arial"/>
          <w:color w:val="000000"/>
        </w:rPr>
        <w:t>i al seu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hyperlink r:id="rId22" w:history="1">
        <w:r w:rsidRPr="00CB42A1">
          <w:rPr>
            <w:rFonts w:ascii="Gotham" w:hAnsi="Gotham" w:cs="Arial"/>
            <w:color w:val="0000FF"/>
            <w:u w:val="single"/>
          </w:rPr>
          <w:t>annex</w:t>
        </w:r>
      </w:hyperlink>
      <w:r w:rsidRPr="00CB42A1">
        <w:rPr>
          <w:rFonts w:ascii="Gotham" w:hAnsi="Gotham" w:cs="Arial"/>
          <w:color w:val="000000"/>
        </w:rPr>
        <w:t>.</w:t>
      </w:r>
    </w:p>
    <w:p w14:paraId="06791707" w14:textId="77777777" w:rsidR="00CB42A1" w:rsidRPr="00CB42A1" w:rsidRDefault="00CB42A1" w:rsidP="00CB42A1">
      <w:pPr>
        <w:spacing w:before="100" w:beforeAutospacing="1" w:line="278" w:lineRule="atLeast"/>
        <w:ind w:right="454"/>
        <w:jc w:val="both"/>
        <w:rPr>
          <w:rFonts w:ascii="Arial" w:hAnsi="Arial" w:cs="Arial"/>
          <w:color w:val="000000"/>
          <w:sz w:val="24"/>
          <w:szCs w:val="24"/>
        </w:rPr>
      </w:pPr>
    </w:p>
    <w:p w14:paraId="6E752AE7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Construcció de refineries de cru, centrals tèrmiques de carbó i projectes que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impliquin l'extracció de petroli o gas natural, a causa del perjudici a l’objectiu de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mitigació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 canvi climàtic.</w:t>
      </w:r>
    </w:p>
    <w:p w14:paraId="1FFBC513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relacionades amb els combustibles fòssils, inclosa la utilització ulterior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d’aquests, excepte els projectes relacionats amb la generació d'electricitat i/o calor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utilitzant gas natural, així com amb la infraestructura de transport i distribució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connexa, que compleixin les condicions establertes a l'annex III de la Guia tècnica de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la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Comissió Europea.</w:t>
      </w:r>
    </w:p>
    <w:p w14:paraId="18C425C6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i actius en el marc del règim de comerç de drets d'emissió de la UE (RCDE)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en relació amb les quals es prevegi que les emissions de gasos amb efecte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d’hivernacle que provocaran no se situaran per sota dels paràmetres de referència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pertinents. Quan es prevegi que les emissions de gasos amb efecte d’hivernacle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provocades per l'activitat subvencionada no seran significativament inferiors als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paràmetres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referència,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cal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facilitar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una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explicació motivada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al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respecte.</w:t>
      </w:r>
    </w:p>
    <w:p w14:paraId="37E9D56D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Compensació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dels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costos indirectes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del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RCDE.</w:t>
      </w:r>
    </w:p>
    <w:p w14:paraId="20AD8ECA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t>Activitats relacionades amb abocadors de residus i incineradores</w:t>
      </w:r>
      <w:r w:rsidRPr="00CB42A1">
        <w:rPr>
          <w:rFonts w:ascii="Gotham" w:hAnsi="Gotham"/>
          <w:b/>
          <w:bCs/>
          <w:color w:val="95C21F"/>
        </w:rPr>
        <w:t xml:space="preserve">. </w:t>
      </w:r>
      <w:r w:rsidRPr="00CB42A1">
        <w:rPr>
          <w:rFonts w:ascii="Gotham" w:hAnsi="Gotham"/>
          <w:color w:val="000000"/>
        </w:rPr>
        <w:t>Aquesta exclusió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no s'aplica 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les accions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en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plantes dedicades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exclusivament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al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tractament</w:t>
      </w:r>
      <w:r w:rsidRPr="00CB42A1">
        <w:rPr>
          <w:rFonts w:ascii="Gotham" w:hAnsi="Gotham"/>
          <w:color w:val="000000"/>
          <w:spacing w:val="4"/>
        </w:rPr>
        <w:t xml:space="preserve"> </w:t>
      </w:r>
      <w:r w:rsidRPr="00CB42A1">
        <w:rPr>
          <w:rFonts w:ascii="Gotham" w:hAnsi="Gotham"/>
          <w:color w:val="000000"/>
        </w:rPr>
        <w:t>de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residus perillosos no reciclables, ni a les plantes existents, quan aquestes accions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tinguin per objecte augmentar l'eficiència energètica, capturar els gasos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d'escapament per emmagatzematge o utilització, o recuperar materials de les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cendres d'incineració, sempre que aquestes accions no comportin un augment de la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capacitat de tractament de residus de les plantes o a una prolongació de la seva vida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útil.</w:t>
      </w:r>
      <w:r w:rsidRPr="00CB42A1">
        <w:rPr>
          <w:rFonts w:ascii="Gotham" w:hAnsi="Gotham"/>
          <w:color w:val="000000"/>
          <w:spacing w:val="2"/>
        </w:rPr>
        <w:t xml:space="preserve"> </w:t>
      </w:r>
      <w:r w:rsidRPr="00CB42A1">
        <w:rPr>
          <w:rFonts w:ascii="Gotham" w:hAnsi="Gotham"/>
          <w:color w:val="000000"/>
        </w:rPr>
        <w:t>Aquests detalls s'hauran de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justificar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documentalment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per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a</w:t>
      </w:r>
      <w:r w:rsidRPr="00CB42A1">
        <w:rPr>
          <w:rFonts w:ascii="Gotham" w:hAnsi="Gotham"/>
          <w:color w:val="000000"/>
          <w:spacing w:val="-4"/>
        </w:rPr>
        <w:t xml:space="preserve"> </w:t>
      </w:r>
      <w:r w:rsidRPr="00CB42A1">
        <w:rPr>
          <w:rFonts w:ascii="Gotham" w:hAnsi="Gotham"/>
          <w:color w:val="000000"/>
        </w:rPr>
        <w:t>cada</w:t>
      </w:r>
      <w:r w:rsidRPr="00CB42A1">
        <w:rPr>
          <w:rFonts w:ascii="Gotham" w:hAnsi="Gotham"/>
          <w:color w:val="000000"/>
          <w:spacing w:val="-2"/>
        </w:rPr>
        <w:t xml:space="preserve"> </w:t>
      </w:r>
      <w:r w:rsidRPr="00CB42A1">
        <w:rPr>
          <w:rFonts w:ascii="Gotham" w:hAnsi="Gotham"/>
          <w:color w:val="000000"/>
        </w:rPr>
        <w:t>planta.</w:t>
      </w:r>
    </w:p>
    <w:p w14:paraId="3D4BAD34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Activitats relacionades amb plantes de tractament mecànic-biològic. Aquesta exclusió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no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s'aplica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les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accions</w:t>
      </w:r>
      <w:r w:rsidRPr="00CB42A1">
        <w:rPr>
          <w:rFonts w:ascii="Gotham" w:hAnsi="Gotham" w:cs="Arial"/>
          <w:color w:val="000000"/>
          <w:spacing w:val="-6"/>
        </w:rPr>
        <w:t xml:space="preserve"> </w:t>
      </w:r>
      <w:r w:rsidRPr="00CB42A1">
        <w:rPr>
          <w:rFonts w:ascii="Gotham" w:hAnsi="Gotham" w:cs="Arial"/>
          <w:color w:val="000000"/>
        </w:rPr>
        <w:t>en plantes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de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tractament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mecànic-biològic existents,</w:t>
      </w:r>
      <w:r w:rsidRPr="00CB42A1">
        <w:rPr>
          <w:rFonts w:ascii="Gotham" w:hAnsi="Gotham" w:cs="Arial"/>
          <w:color w:val="000000"/>
          <w:spacing w:val="-4"/>
        </w:rPr>
        <w:t xml:space="preserve"> </w:t>
      </w:r>
      <w:r w:rsidRPr="00CB42A1">
        <w:rPr>
          <w:rFonts w:ascii="Gotham" w:hAnsi="Gotham" w:cs="Arial"/>
          <w:color w:val="000000"/>
        </w:rPr>
        <w:t>quan aquestes accions tinguin per objecte augmentar l'eficiència energètica o el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recondicionament per a operacions de reciclatge de residus separats, com el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compostatge i la digestió anaeròbia de bioresidus, sempre que aquestes accions no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comportin un augment de la capacitat de tractament de residus de les plantes o una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prolongació de la vida útil. Aquests detalls s'hauran de justificar documentalment per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a cada planta.</w:t>
      </w:r>
    </w:p>
    <w:p w14:paraId="1B408B38" w14:textId="77777777" w:rsidR="00CB42A1" w:rsidRPr="00CB42A1" w:rsidRDefault="00CB42A1" w:rsidP="00CB42A1">
      <w:pPr>
        <w:numPr>
          <w:ilvl w:val="1"/>
          <w:numId w:val="29"/>
        </w:numPr>
        <w:spacing w:before="100" w:beforeAutospacing="1" w:line="278" w:lineRule="atLeast"/>
        <w:ind w:left="1724" w:firstLine="0"/>
        <w:jc w:val="both"/>
        <w:rPr>
          <w:color w:val="000000"/>
          <w:sz w:val="24"/>
          <w:szCs w:val="24"/>
        </w:rPr>
      </w:pPr>
      <w:r w:rsidRPr="00CB42A1">
        <w:rPr>
          <w:rFonts w:ascii="Gotham" w:hAnsi="Gotham"/>
          <w:color w:val="000000"/>
        </w:rPr>
        <w:lastRenderedPageBreak/>
        <w:t>Activitats en què l'eliminació a llarg termini de residus pugui causar danys al medi</w:t>
      </w:r>
      <w:r w:rsidRPr="00CB42A1">
        <w:rPr>
          <w:rFonts w:ascii="Gotham" w:hAnsi="Gotham"/>
          <w:color w:val="000000"/>
          <w:spacing w:val="-60"/>
        </w:rPr>
        <w:t xml:space="preserve"> </w:t>
      </w:r>
      <w:r w:rsidRPr="00CB42A1">
        <w:rPr>
          <w:rFonts w:ascii="Gotham" w:hAnsi="Gotham"/>
          <w:color w:val="000000"/>
        </w:rPr>
        <w:t>ambient.</w:t>
      </w:r>
    </w:p>
    <w:p w14:paraId="1629A954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7732CBF" w14:textId="77777777" w:rsidR="00CB42A1" w:rsidRPr="00CB42A1" w:rsidRDefault="00CB42A1" w:rsidP="00CB42A1">
      <w:pPr>
        <w:numPr>
          <w:ilvl w:val="0"/>
          <w:numId w:val="30"/>
        </w:numPr>
        <w:spacing w:before="100" w:beforeAutospacing="1" w:line="278" w:lineRule="atLeast"/>
        <w:ind w:left="1004" w:right="30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Les activitats que es desenvolupin no causaran efectes directes sobre el medi ambient, ni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efectes indirectes primaris en tot el seu cicle de vida, entenent com a tals els que es puguin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materialitzar una vegada realitzada</w:t>
      </w:r>
      <w:r w:rsidRPr="00CB42A1">
        <w:rPr>
          <w:rFonts w:ascii="Gotham" w:hAnsi="Gotham" w:cs="Arial"/>
          <w:color w:val="000000"/>
          <w:spacing w:val="-2"/>
        </w:rPr>
        <w:t xml:space="preserve"> </w:t>
      </w:r>
      <w:r w:rsidRPr="00CB42A1">
        <w:rPr>
          <w:rFonts w:ascii="Gotham" w:hAnsi="Gotham" w:cs="Arial"/>
          <w:color w:val="000000"/>
        </w:rPr>
        <w:t>l’activitat.</w:t>
      </w:r>
    </w:p>
    <w:p w14:paraId="4C66BA5C" w14:textId="77777777" w:rsidR="00CB42A1" w:rsidRPr="00CB42A1" w:rsidRDefault="00CB42A1" w:rsidP="00CB42A1">
      <w:pPr>
        <w:spacing w:before="100" w:beforeAutospacing="1" w:line="278" w:lineRule="atLeast"/>
        <w:ind w:right="318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Tinc coneixement que l’incompliment d’algun dels requisits que estableix aquesta declaració</w:t>
      </w:r>
      <w:r w:rsidRPr="00CB42A1">
        <w:rPr>
          <w:rFonts w:ascii="Gotham" w:hAnsi="Gotham" w:cs="Arial"/>
          <w:color w:val="000000"/>
          <w:spacing w:val="-60"/>
        </w:rPr>
        <w:t xml:space="preserve"> </w:t>
      </w:r>
      <w:r w:rsidRPr="00CB42A1">
        <w:rPr>
          <w:rFonts w:ascii="Gotham" w:hAnsi="Gotham" w:cs="Arial"/>
          <w:color w:val="000000"/>
        </w:rPr>
        <w:t>dona lloc a l’obligació de retornar les quantitats percebudes i els interessos de demora</w:t>
      </w:r>
      <w:r w:rsidRPr="00CB42A1">
        <w:rPr>
          <w:rFonts w:ascii="Gotham" w:hAnsi="Gotham" w:cs="Arial"/>
          <w:color w:val="000000"/>
          <w:spacing w:val="2"/>
        </w:rPr>
        <w:t xml:space="preserve"> </w:t>
      </w:r>
      <w:r w:rsidRPr="00CB42A1">
        <w:rPr>
          <w:rFonts w:ascii="Gotham" w:hAnsi="Gotham" w:cs="Arial"/>
          <w:color w:val="000000"/>
        </w:rPr>
        <w:t>corresponents.</w:t>
      </w:r>
    </w:p>
    <w:p w14:paraId="1C083B2F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2D332CD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B42A1">
        <w:rPr>
          <w:rFonts w:ascii="Gotham" w:hAnsi="Gotham" w:cs="Arial"/>
          <w:color w:val="000000"/>
        </w:rPr>
        <w:t>Mataró, a data de la signatura electrònica</w:t>
      </w:r>
    </w:p>
    <w:p w14:paraId="7B5082D7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B85DEE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DF84C8C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99D95EF" w14:textId="77777777" w:rsidR="00CB42A1" w:rsidRPr="00CB42A1" w:rsidRDefault="00CB42A1" w:rsidP="00CB42A1">
      <w:pPr>
        <w:spacing w:before="100" w:beforeAutospacing="1" w:line="278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A508568" w14:textId="671FA460" w:rsidR="009F25C6" w:rsidRPr="00CB42A1" w:rsidRDefault="009F25C6" w:rsidP="00CB42A1">
      <w:bookmarkStart w:id="0" w:name="_GoBack"/>
      <w:bookmarkEnd w:id="0"/>
    </w:p>
    <w:sectPr w:rsidR="009F25C6" w:rsidRPr="00CB42A1" w:rsidSect="002B4D3B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42A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E21"/>
    <w:multiLevelType w:val="multilevel"/>
    <w:tmpl w:val="C78E36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2DB518B"/>
    <w:multiLevelType w:val="multilevel"/>
    <w:tmpl w:val="12D00B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0415E"/>
    <w:multiLevelType w:val="multilevel"/>
    <w:tmpl w:val="D3F28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647C9"/>
    <w:multiLevelType w:val="multilevel"/>
    <w:tmpl w:val="613C92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11AAC"/>
    <w:multiLevelType w:val="multilevel"/>
    <w:tmpl w:val="D9F667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B52D3"/>
    <w:multiLevelType w:val="multilevel"/>
    <w:tmpl w:val="6952F9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9"/>
  </w:num>
  <w:num w:numId="5">
    <w:abstractNumId w:val="11"/>
  </w:num>
  <w:num w:numId="6">
    <w:abstractNumId w:val="13"/>
  </w:num>
  <w:num w:numId="7">
    <w:abstractNumId w:val="22"/>
    <w:lvlOverride w:ilvl="0">
      <w:startOverride w:val="1"/>
    </w:lvlOverride>
  </w:num>
  <w:num w:numId="8">
    <w:abstractNumId w:val="18"/>
  </w:num>
  <w:num w:numId="9">
    <w:abstractNumId w:val="19"/>
  </w:num>
  <w:num w:numId="10">
    <w:abstractNumId w:val="0"/>
  </w:num>
  <w:num w:numId="11">
    <w:abstractNumId w:val="24"/>
  </w:num>
  <w:num w:numId="12">
    <w:abstractNumId w:val="29"/>
  </w:num>
  <w:num w:numId="13">
    <w:abstractNumId w:val="16"/>
  </w:num>
  <w:num w:numId="14">
    <w:abstractNumId w:val="20"/>
  </w:num>
  <w:num w:numId="15">
    <w:abstractNumId w:val="10"/>
  </w:num>
  <w:num w:numId="16">
    <w:abstractNumId w:val="2"/>
  </w:num>
  <w:num w:numId="17">
    <w:abstractNumId w:val="23"/>
  </w:num>
  <w:num w:numId="18">
    <w:abstractNumId w:val="5"/>
  </w:num>
  <w:num w:numId="19">
    <w:abstractNumId w:val="4"/>
  </w:num>
  <w:num w:numId="20">
    <w:abstractNumId w:val="3"/>
  </w:num>
  <w:num w:numId="21">
    <w:abstractNumId w:val="27"/>
  </w:num>
  <w:num w:numId="22">
    <w:abstractNumId w:val="6"/>
  </w:num>
  <w:num w:numId="23">
    <w:abstractNumId w:val="15"/>
  </w:num>
  <w:num w:numId="24">
    <w:abstractNumId w:val="12"/>
  </w:num>
  <w:num w:numId="25">
    <w:abstractNumId w:val="1"/>
  </w:num>
  <w:num w:numId="26">
    <w:abstractNumId w:val="8"/>
  </w:num>
  <w:num w:numId="27">
    <w:abstractNumId w:val="7"/>
  </w:num>
  <w:num w:numId="28">
    <w:abstractNumId w:val="28"/>
  </w:num>
  <w:num w:numId="29">
    <w:abstractNumId w:val="14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07977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76838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25C6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858AF"/>
    <w:rsid w:val="00C90711"/>
    <w:rsid w:val="00C926C8"/>
    <w:rsid w:val="00CA70A0"/>
    <w:rsid w:val="00CB42A1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DOUE-Z-2021-70014" TargetMode="External"/><Relationship Id="rId13" Type="http://schemas.openxmlformats.org/officeDocument/2006/relationships/hyperlink" Target="https://ec.europa.eu/info/sites/default/files/com_322_1_es.pdf" TargetMode="External"/><Relationship Id="rId18" Type="http://schemas.openxmlformats.org/officeDocument/2006/relationships/hyperlink" Target="https://ec.europa.eu/info/sites/default/files/com_322_1_es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ec.europa.eu/info/sites/default/files/com_322_1_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info/sites/default/files/com_322_1_es.pdf" TargetMode="External"/><Relationship Id="rId17" Type="http://schemas.openxmlformats.org/officeDocument/2006/relationships/hyperlink" Target="https://ec.europa.eu/info/sites/default/files/com_322_1_es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sites/default/files/com_322_1_es.pdf" TargetMode="External"/><Relationship Id="rId20" Type="http://schemas.openxmlformats.org/officeDocument/2006/relationships/hyperlink" Target="https://ec.europa.eu/info/sites/default/files/com_322_1_e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com_322_1_es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sites/default/files/com_322_1_es.pdf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boe.es/buscar/doc.php?id=DOUE-Z-2021-70014" TargetMode="External"/><Relationship Id="rId19" Type="http://schemas.openxmlformats.org/officeDocument/2006/relationships/hyperlink" Target="https://ec.europa.eu/info/sites/default/files/com_322_1_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DOUE-Z-2021-70014" TargetMode="External"/><Relationship Id="rId14" Type="http://schemas.openxmlformats.org/officeDocument/2006/relationships/hyperlink" Target="https://ec.europa.eu/info/sites/default/files/com_322_1_es.pdf" TargetMode="External"/><Relationship Id="rId22" Type="http://schemas.openxmlformats.org/officeDocument/2006/relationships/hyperlink" Target="https://ec.europa.eu/info/sites/default/files/com_322_1_annex_es.pdf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3A98-CC2E-40FA-8369-2FE5CF0D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6292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3</cp:revision>
  <cp:lastPrinted>2023-01-14T12:26:00Z</cp:lastPrinted>
  <dcterms:created xsi:type="dcterms:W3CDTF">2023-12-13T08:33:00Z</dcterms:created>
  <dcterms:modified xsi:type="dcterms:W3CDTF">2023-12-13T08:34:00Z</dcterms:modified>
</cp:coreProperties>
</file>