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505A" w14:textId="6725AA2C" w:rsidR="00112D36" w:rsidRPr="00434A5E" w:rsidRDefault="00427C57" w:rsidP="004C58AA">
      <w:pPr>
        <w:jc w:val="both"/>
        <w:rPr>
          <w:rFonts w:ascii="Gilroy Bold" w:hAnsi="Gilroy Bold"/>
          <w:bCs/>
          <w:sz w:val="20"/>
          <w:szCs w:val="20"/>
          <w:u w:val="single"/>
        </w:rPr>
      </w:pPr>
      <w:r w:rsidRPr="00E604F9">
        <w:rPr>
          <w:rFonts w:ascii="Gilroy Bold" w:hAnsi="Gilroy Bold"/>
          <w:bCs/>
          <w:sz w:val="20"/>
          <w:szCs w:val="20"/>
          <w:u w:val="single"/>
        </w:rPr>
        <w:t xml:space="preserve">ANNEX </w:t>
      </w:r>
      <w:r w:rsidR="00CA0C02">
        <w:rPr>
          <w:rFonts w:ascii="Gilroy Bold" w:hAnsi="Gilroy Bold"/>
          <w:bCs/>
          <w:sz w:val="20"/>
          <w:szCs w:val="20"/>
          <w:u w:val="single"/>
        </w:rPr>
        <w:t>8</w:t>
      </w:r>
      <w:r w:rsidRPr="00E604F9">
        <w:rPr>
          <w:rFonts w:ascii="Gilroy Bold" w:hAnsi="Gilroy Bold"/>
          <w:bCs/>
          <w:sz w:val="20"/>
          <w:szCs w:val="20"/>
          <w:u w:val="single"/>
        </w:rPr>
        <w:t xml:space="preserve">: </w:t>
      </w:r>
      <w:r w:rsidR="00A64F89" w:rsidRPr="00E604F9">
        <w:rPr>
          <w:rFonts w:ascii="Gilroy Bold" w:hAnsi="Gilroy Bold"/>
          <w:bCs/>
          <w:sz w:val="20"/>
          <w:szCs w:val="20"/>
          <w:u w:val="single"/>
        </w:rPr>
        <w:t xml:space="preserve">CONTROL DE LA PRESTACIÓ </w:t>
      </w:r>
      <w:r w:rsidR="00A82BFF" w:rsidRPr="00E604F9">
        <w:rPr>
          <w:rFonts w:ascii="Gilroy Bold" w:hAnsi="Gilroy Bold"/>
          <w:bCs/>
          <w:sz w:val="20"/>
          <w:szCs w:val="20"/>
          <w:u w:val="single"/>
        </w:rPr>
        <w:t xml:space="preserve">I QUALITAT </w:t>
      </w:r>
      <w:r w:rsidR="00A64F89" w:rsidRPr="00E604F9">
        <w:rPr>
          <w:rFonts w:ascii="Gilroy Bold" w:hAnsi="Gilroy Bold"/>
          <w:bCs/>
          <w:sz w:val="20"/>
          <w:szCs w:val="20"/>
          <w:u w:val="single"/>
        </w:rPr>
        <w:t>DEL SERVEI</w:t>
      </w:r>
    </w:p>
    <w:p w14:paraId="2F3C4F57" w14:textId="73985F5D" w:rsidR="00A64F89" w:rsidRDefault="00A64F89" w:rsidP="00A64F89">
      <w:pPr>
        <w:ind w:left="360" w:hanging="360"/>
        <w:rPr>
          <w:rFonts w:ascii="Gilroy Medium" w:hAnsi="Gilroy Medium" w:cstheme="majorHAnsi"/>
          <w:sz w:val="20"/>
          <w:szCs w:val="20"/>
        </w:rPr>
      </w:pPr>
      <w:r>
        <w:rPr>
          <w:rFonts w:ascii="Gilroy Medium" w:hAnsi="Gilroy Medium" w:cstheme="majorHAnsi"/>
          <w:sz w:val="20"/>
          <w:szCs w:val="20"/>
        </w:rPr>
        <w:t xml:space="preserve">1. </w:t>
      </w:r>
      <w:r w:rsidRPr="00A64F89">
        <w:rPr>
          <w:rFonts w:ascii="Gilroy Medium" w:hAnsi="Gilroy Medium" w:cstheme="majorHAnsi"/>
          <w:sz w:val="20"/>
          <w:szCs w:val="20"/>
        </w:rPr>
        <w:t>CONTROL DE LES NORMES DE LA PRESTACIÓ</w:t>
      </w:r>
    </w:p>
    <w:p w14:paraId="43C287E0" w14:textId="13C260E5" w:rsidR="00E85F70" w:rsidRDefault="00E85F70" w:rsidP="00E85F70">
      <w:p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E85F70">
        <w:rPr>
          <w:rFonts w:ascii="Gilroy Light" w:hAnsi="Gilroy Light" w:cs="Avenir Book"/>
          <w:sz w:val="20"/>
          <w:szCs w:val="20"/>
        </w:rPr>
        <w:t>El control de les normes de prestació dels serveis es centrarà en el control dels aspectes dels diferents serveis de recollida de residus i neteja viària</w:t>
      </w:r>
      <w:r w:rsidR="00CA0C02">
        <w:rPr>
          <w:rFonts w:ascii="Gilroy Light" w:hAnsi="Gilroy Light" w:cs="Avenir Book"/>
          <w:sz w:val="20"/>
          <w:szCs w:val="20"/>
        </w:rPr>
        <w:t xml:space="preserve"> i de mercats</w:t>
      </w:r>
      <w:r w:rsidRPr="00E85F70">
        <w:rPr>
          <w:rFonts w:ascii="Gilroy Light" w:hAnsi="Gilroy Light" w:cs="Avenir Book"/>
          <w:sz w:val="20"/>
          <w:szCs w:val="20"/>
        </w:rPr>
        <w:t xml:space="preserve"> que es recullen</w:t>
      </w:r>
      <w:r>
        <w:rPr>
          <w:rFonts w:ascii="Gilroy Light" w:hAnsi="Gilroy Light" w:cs="Avenir Book"/>
          <w:sz w:val="20"/>
          <w:szCs w:val="20"/>
        </w:rPr>
        <w:t xml:space="preserve"> a les següents taules, </w:t>
      </w:r>
      <w:r w:rsidRPr="00E85F70">
        <w:rPr>
          <w:rFonts w:ascii="Gilroy Light" w:hAnsi="Gilroy Light" w:cs="Avenir Book"/>
          <w:sz w:val="20"/>
          <w:szCs w:val="20"/>
        </w:rPr>
        <w:t>on es detallen totes les normes de la prestació que es tindran en compte i la seva qualificació.</w:t>
      </w:r>
    </w:p>
    <w:p w14:paraId="6B2D88FD" w14:textId="0CF26D82" w:rsidR="00E85F70" w:rsidRPr="00E85F70" w:rsidRDefault="00E85F70" w:rsidP="00E85F70">
      <w:p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 xml:space="preserve">Tot i això, en el moment d'aplicar el control de les normes de la prestació del servei, </w:t>
      </w:r>
      <w:r w:rsidR="00851E44">
        <w:rPr>
          <w:rFonts w:ascii="Gilroy Light" w:hAnsi="Gilroy Light" w:cs="Avenir Book"/>
          <w:sz w:val="20"/>
          <w:szCs w:val="20"/>
        </w:rPr>
        <w:t xml:space="preserve">Mercabarna </w:t>
      </w:r>
      <w:r>
        <w:rPr>
          <w:rFonts w:ascii="Gilroy Light" w:hAnsi="Gilroy Light" w:cs="Avenir Book"/>
          <w:sz w:val="20"/>
          <w:szCs w:val="20"/>
        </w:rPr>
        <w:t>acabar</w:t>
      </w:r>
      <w:r w:rsidR="00851E44">
        <w:rPr>
          <w:rFonts w:ascii="Gilroy Light" w:hAnsi="Gilroy Light" w:cs="Avenir Book"/>
          <w:sz w:val="20"/>
          <w:szCs w:val="20"/>
        </w:rPr>
        <w:t>à</w:t>
      </w:r>
      <w:r>
        <w:rPr>
          <w:rFonts w:ascii="Gilroy Light" w:hAnsi="Gilroy Light" w:cs="Avenir Book"/>
          <w:sz w:val="20"/>
          <w:szCs w:val="20"/>
        </w:rPr>
        <w:t xml:space="preserve"> de determinar, amb col·laboració amb l'empresa adjudicatària, quines seran les normes de prestació del servei a inspeccionar.</w:t>
      </w:r>
    </w:p>
    <w:p w14:paraId="17C1A292" w14:textId="3E90C795" w:rsidR="00A64F89" w:rsidRPr="00A64F89" w:rsidRDefault="00A64F89" w:rsidP="00953D2F">
      <w:pPr>
        <w:spacing w:after="120"/>
        <w:rPr>
          <w:rFonts w:ascii="Gilroy Medium" w:hAnsi="Gilroy Medium" w:cstheme="majorHAnsi"/>
          <w:sz w:val="20"/>
          <w:szCs w:val="20"/>
        </w:rPr>
      </w:pPr>
      <w:r>
        <w:rPr>
          <w:rFonts w:ascii="Gilroy Medium" w:hAnsi="Gilroy Medium" w:cstheme="majorHAnsi"/>
          <w:sz w:val="20"/>
          <w:szCs w:val="20"/>
        </w:rPr>
        <w:t xml:space="preserve">1.1. </w:t>
      </w:r>
      <w:r w:rsidRPr="00A64F89">
        <w:rPr>
          <w:rFonts w:ascii="Gilroy Medium" w:hAnsi="Gilroy Medium" w:cstheme="majorHAnsi"/>
          <w:sz w:val="20"/>
          <w:szCs w:val="20"/>
        </w:rPr>
        <w:t>RECOLLIDA DE RESIDUS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514"/>
        <w:gridCol w:w="515"/>
        <w:gridCol w:w="514"/>
        <w:gridCol w:w="516"/>
      </w:tblGrid>
      <w:tr w:rsidR="00A64F89" w:rsidRPr="00A43A8A" w14:paraId="642B153D" w14:textId="77777777" w:rsidTr="00E85F70">
        <w:trPr>
          <w:cantSplit/>
          <w:trHeight w:val="1422"/>
          <w:tblHeader/>
          <w:jc w:val="center"/>
        </w:trPr>
        <w:tc>
          <w:tcPr>
            <w:tcW w:w="6658" w:type="dxa"/>
            <w:shd w:val="clear" w:color="auto" w:fill="EDEDED" w:themeFill="accent3" w:themeFillTint="33"/>
            <w:vAlign w:val="center"/>
          </w:tcPr>
          <w:p w14:paraId="1BB3B92A" w14:textId="77777777" w:rsidR="00A64F89" w:rsidRPr="00096969" w:rsidRDefault="00A64F89" w:rsidP="00096969">
            <w:pPr>
              <w:spacing w:before="120"/>
              <w:rPr>
                <w:rFonts w:ascii="Gilroy Medium" w:hAnsi="Gilroy Medium" w:cs="Calibri"/>
                <w:sz w:val="20"/>
                <w:szCs w:val="20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INCOMPLIMENT DE LES NORMES</w:t>
            </w:r>
          </w:p>
          <w:p w14:paraId="58D34065" w14:textId="352DB923" w:rsidR="00A64F89" w:rsidRPr="00096969" w:rsidRDefault="00A64F89" w:rsidP="00096969">
            <w:pPr>
              <w:spacing w:before="120"/>
              <w:rPr>
                <w:rFonts w:ascii="Gilroy Medium" w:hAnsi="Gilroy Medium" w:cs="Calibri"/>
                <w:sz w:val="18"/>
                <w:szCs w:val="18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Recollida de Residus</w:t>
            </w:r>
          </w:p>
        </w:tc>
        <w:tc>
          <w:tcPr>
            <w:tcW w:w="514" w:type="dxa"/>
            <w:shd w:val="clear" w:color="auto" w:fill="EDEDED" w:themeFill="accent3" w:themeFillTint="33"/>
            <w:textDirection w:val="btLr"/>
            <w:vAlign w:val="center"/>
          </w:tcPr>
          <w:p w14:paraId="3B5A4F1D" w14:textId="77777777" w:rsidR="00A64F89" w:rsidRPr="00096969" w:rsidRDefault="00A64F89" w:rsidP="00E85F70">
            <w:pPr>
              <w:spacing w:after="0"/>
              <w:jc w:val="center"/>
              <w:rPr>
                <w:rFonts w:ascii="Gilroy Medium" w:hAnsi="Gilroy Medium" w:cs="Calibri"/>
                <w:sz w:val="18"/>
                <w:szCs w:val="18"/>
              </w:rPr>
            </w:pPr>
            <w:r w:rsidRPr="00096969">
              <w:rPr>
                <w:rFonts w:ascii="Gilroy Medium" w:hAnsi="Gilroy Medium" w:cs="Calibri"/>
                <w:sz w:val="18"/>
                <w:szCs w:val="18"/>
              </w:rPr>
              <w:t>MOLT SATISFACTORI</w:t>
            </w:r>
          </w:p>
        </w:tc>
        <w:tc>
          <w:tcPr>
            <w:tcW w:w="515" w:type="dxa"/>
            <w:shd w:val="clear" w:color="auto" w:fill="EDEDED" w:themeFill="accent3" w:themeFillTint="33"/>
            <w:textDirection w:val="btLr"/>
            <w:vAlign w:val="center"/>
          </w:tcPr>
          <w:p w14:paraId="1299DF02" w14:textId="77777777" w:rsidR="00A64F89" w:rsidRPr="00096969" w:rsidRDefault="00A64F89" w:rsidP="00E85F70">
            <w:pPr>
              <w:spacing w:after="0"/>
              <w:jc w:val="center"/>
              <w:rPr>
                <w:rFonts w:ascii="Gilroy Medium" w:hAnsi="Gilroy Medium" w:cs="Calibri"/>
                <w:sz w:val="18"/>
                <w:szCs w:val="18"/>
              </w:rPr>
            </w:pPr>
            <w:r w:rsidRPr="00096969">
              <w:rPr>
                <w:rFonts w:ascii="Gilroy Medium" w:hAnsi="Gilroy Medium" w:cs="Calibri"/>
                <w:sz w:val="18"/>
                <w:szCs w:val="18"/>
              </w:rPr>
              <w:t>SATISFACTORI</w:t>
            </w:r>
          </w:p>
        </w:tc>
        <w:tc>
          <w:tcPr>
            <w:tcW w:w="514" w:type="dxa"/>
            <w:shd w:val="clear" w:color="auto" w:fill="EDEDED" w:themeFill="accent3" w:themeFillTint="33"/>
            <w:textDirection w:val="btLr"/>
            <w:vAlign w:val="center"/>
          </w:tcPr>
          <w:p w14:paraId="340D108A" w14:textId="77777777" w:rsidR="00A64F89" w:rsidRPr="00096969" w:rsidRDefault="00A64F89" w:rsidP="00E85F70">
            <w:pPr>
              <w:spacing w:after="0"/>
              <w:jc w:val="center"/>
              <w:rPr>
                <w:rFonts w:ascii="Gilroy Medium" w:hAnsi="Gilroy Medium" w:cs="Calibri"/>
                <w:sz w:val="18"/>
                <w:szCs w:val="18"/>
              </w:rPr>
            </w:pPr>
            <w:r w:rsidRPr="00096969">
              <w:rPr>
                <w:rFonts w:ascii="Gilroy Medium" w:hAnsi="Gilroy Medium" w:cs="Calibri"/>
                <w:sz w:val="18"/>
                <w:szCs w:val="18"/>
              </w:rPr>
              <w:t>NO SATISFACTORI</w:t>
            </w:r>
          </w:p>
        </w:tc>
        <w:tc>
          <w:tcPr>
            <w:tcW w:w="516" w:type="dxa"/>
            <w:shd w:val="clear" w:color="auto" w:fill="EDEDED" w:themeFill="accent3" w:themeFillTint="33"/>
            <w:textDirection w:val="btLr"/>
            <w:vAlign w:val="center"/>
          </w:tcPr>
          <w:p w14:paraId="74405C8A" w14:textId="77777777" w:rsidR="00A64F89" w:rsidRPr="00096969" w:rsidRDefault="00A64F89" w:rsidP="00E85F70">
            <w:pPr>
              <w:spacing w:after="0"/>
              <w:jc w:val="center"/>
              <w:rPr>
                <w:rFonts w:ascii="Gilroy Medium" w:hAnsi="Gilroy Medium" w:cs="Calibri"/>
                <w:sz w:val="18"/>
                <w:szCs w:val="18"/>
              </w:rPr>
            </w:pPr>
            <w:r w:rsidRPr="00096969">
              <w:rPr>
                <w:rFonts w:ascii="Gilroy Medium" w:hAnsi="Gilroy Medium" w:cs="Calibri"/>
                <w:sz w:val="18"/>
                <w:szCs w:val="18"/>
              </w:rPr>
              <w:t>GENS SATISFACTORI</w:t>
            </w:r>
          </w:p>
        </w:tc>
      </w:tr>
      <w:tr w:rsidR="00A64F89" w:rsidRPr="00A43A8A" w14:paraId="46FFB30C" w14:textId="77777777" w:rsidTr="005D3982">
        <w:trPr>
          <w:jc w:val="center"/>
        </w:trPr>
        <w:tc>
          <w:tcPr>
            <w:tcW w:w="6658" w:type="dxa"/>
            <w:vAlign w:val="bottom"/>
          </w:tcPr>
          <w:p w14:paraId="63DAAFC8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No seguir l’itinerari previst per causes injustificades</w:t>
            </w:r>
          </w:p>
        </w:tc>
        <w:tc>
          <w:tcPr>
            <w:tcW w:w="514" w:type="dxa"/>
            <w:vAlign w:val="center"/>
          </w:tcPr>
          <w:p w14:paraId="579677B4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7B0B62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5708406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center"/>
          </w:tcPr>
          <w:p w14:paraId="4885905A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</w:tr>
      <w:tr w:rsidR="00A64F89" w:rsidRPr="00A43A8A" w14:paraId="4DCFF56B" w14:textId="77777777" w:rsidTr="005D3982">
        <w:trPr>
          <w:jc w:val="center"/>
        </w:trPr>
        <w:tc>
          <w:tcPr>
            <w:tcW w:w="6658" w:type="dxa"/>
            <w:vAlign w:val="bottom"/>
          </w:tcPr>
          <w:p w14:paraId="5A84B1D8" w14:textId="77777777" w:rsidR="00A64F89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inferior a 20 minuts</w:t>
            </w:r>
          </w:p>
        </w:tc>
        <w:tc>
          <w:tcPr>
            <w:tcW w:w="514" w:type="dxa"/>
            <w:vAlign w:val="center"/>
          </w:tcPr>
          <w:p w14:paraId="2FA7872F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48F9D623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3398E22B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B296337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</w:tr>
      <w:tr w:rsidR="00A64F89" w:rsidRPr="00A43A8A" w14:paraId="5FCEA664" w14:textId="77777777" w:rsidTr="005D3982">
        <w:trPr>
          <w:jc w:val="center"/>
        </w:trPr>
        <w:tc>
          <w:tcPr>
            <w:tcW w:w="6658" w:type="dxa"/>
            <w:vAlign w:val="bottom"/>
          </w:tcPr>
          <w:p w14:paraId="3E06EBCE" w14:textId="77777777" w:rsidR="00A64F89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superior a 20 minuts</w:t>
            </w:r>
          </w:p>
        </w:tc>
        <w:tc>
          <w:tcPr>
            <w:tcW w:w="514" w:type="dxa"/>
            <w:vAlign w:val="center"/>
          </w:tcPr>
          <w:p w14:paraId="2A9100D3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D960F7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0969B40F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72D4C23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</w:tr>
      <w:tr w:rsidR="00A64F89" w:rsidRPr="00A43A8A" w14:paraId="112A2CEC" w14:textId="77777777" w:rsidTr="005D3982">
        <w:trPr>
          <w:jc w:val="center"/>
        </w:trPr>
        <w:tc>
          <w:tcPr>
            <w:tcW w:w="6658" w:type="dxa"/>
            <w:vAlign w:val="bottom"/>
          </w:tcPr>
          <w:p w14:paraId="15D235B4" w14:textId="77777777" w:rsidR="00A64F89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superior a 60 minuts</w:t>
            </w:r>
          </w:p>
        </w:tc>
        <w:tc>
          <w:tcPr>
            <w:tcW w:w="514" w:type="dxa"/>
            <w:vAlign w:val="center"/>
          </w:tcPr>
          <w:p w14:paraId="3C62F908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F87C0D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6BBD7E3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2F55FF26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</w:tr>
      <w:tr w:rsidR="00A64F89" w:rsidRPr="00A43A8A" w14:paraId="47B379CF" w14:textId="77777777" w:rsidTr="005D3982">
        <w:trPr>
          <w:jc w:val="center"/>
        </w:trPr>
        <w:tc>
          <w:tcPr>
            <w:tcW w:w="6658" w:type="dxa"/>
            <w:vAlign w:val="bottom"/>
          </w:tcPr>
          <w:p w14:paraId="1A0A2497" w14:textId="77777777" w:rsidR="00A64F89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superior a 90 minuts</w:t>
            </w:r>
          </w:p>
        </w:tc>
        <w:tc>
          <w:tcPr>
            <w:tcW w:w="514" w:type="dxa"/>
            <w:vAlign w:val="center"/>
          </w:tcPr>
          <w:p w14:paraId="122A79F1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294D82A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3356CEC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3A04CE9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5C8DE88F" w14:textId="77777777" w:rsidTr="005D3982">
        <w:trPr>
          <w:jc w:val="center"/>
        </w:trPr>
        <w:tc>
          <w:tcPr>
            <w:tcW w:w="6658" w:type="dxa"/>
            <w:vAlign w:val="bottom"/>
          </w:tcPr>
          <w:p w14:paraId="4B54DB02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>
              <w:rPr>
                <w:rFonts w:ascii="Gilroy Light" w:hAnsi="Gilroy Light" w:cs="Calibri"/>
                <w:sz w:val="18"/>
                <w:szCs w:val="18"/>
              </w:rPr>
              <w:t>Sense cap p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arada temporal dels equips sense causa justificada</w:t>
            </w:r>
          </w:p>
        </w:tc>
        <w:tc>
          <w:tcPr>
            <w:tcW w:w="514" w:type="dxa"/>
            <w:vAlign w:val="center"/>
          </w:tcPr>
          <w:p w14:paraId="1162A948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X</w:t>
            </w:r>
          </w:p>
        </w:tc>
        <w:tc>
          <w:tcPr>
            <w:tcW w:w="515" w:type="dxa"/>
            <w:vAlign w:val="center"/>
          </w:tcPr>
          <w:p w14:paraId="1104E28F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37452A8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093AE2E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</w:tr>
      <w:tr w:rsidR="00A64F89" w:rsidRPr="00A43A8A" w14:paraId="08AB614E" w14:textId="77777777" w:rsidTr="005D3982">
        <w:trPr>
          <w:jc w:val="center"/>
        </w:trPr>
        <w:tc>
          <w:tcPr>
            <w:tcW w:w="6658" w:type="dxa"/>
            <w:vAlign w:val="bottom"/>
          </w:tcPr>
          <w:p w14:paraId="4B1FAB96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Parada temporal dels equips sense causa justificada (Entre 5 i 10 minuts)</w:t>
            </w:r>
          </w:p>
        </w:tc>
        <w:tc>
          <w:tcPr>
            <w:tcW w:w="514" w:type="dxa"/>
            <w:vAlign w:val="center"/>
          </w:tcPr>
          <w:p w14:paraId="19067A14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8609EA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X</w:t>
            </w:r>
          </w:p>
        </w:tc>
        <w:tc>
          <w:tcPr>
            <w:tcW w:w="514" w:type="dxa"/>
            <w:vAlign w:val="center"/>
          </w:tcPr>
          <w:p w14:paraId="393715C6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14B1683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</w:tr>
      <w:tr w:rsidR="00A64F89" w:rsidRPr="00A43A8A" w14:paraId="45479241" w14:textId="77777777" w:rsidTr="005D3982">
        <w:trPr>
          <w:jc w:val="center"/>
        </w:trPr>
        <w:tc>
          <w:tcPr>
            <w:tcW w:w="6658" w:type="dxa"/>
            <w:vAlign w:val="bottom"/>
          </w:tcPr>
          <w:p w14:paraId="31C0AC47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Parada temporal dels equips sense causa justificada (Entre 10 i 20 minuts)</w:t>
            </w:r>
          </w:p>
        </w:tc>
        <w:tc>
          <w:tcPr>
            <w:tcW w:w="514" w:type="dxa"/>
            <w:vAlign w:val="center"/>
          </w:tcPr>
          <w:p w14:paraId="479DE973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11A976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109ECEB0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X</w:t>
            </w:r>
          </w:p>
        </w:tc>
        <w:tc>
          <w:tcPr>
            <w:tcW w:w="516" w:type="dxa"/>
            <w:vAlign w:val="center"/>
          </w:tcPr>
          <w:p w14:paraId="376BFFF8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</w:tr>
      <w:tr w:rsidR="00A64F89" w:rsidRPr="00A43A8A" w14:paraId="23405AF5" w14:textId="77777777" w:rsidTr="005D3982">
        <w:trPr>
          <w:jc w:val="center"/>
        </w:trPr>
        <w:tc>
          <w:tcPr>
            <w:tcW w:w="6658" w:type="dxa"/>
            <w:vAlign w:val="bottom"/>
          </w:tcPr>
          <w:p w14:paraId="65C29430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Parada temporal dels equips sense causa justificada (Més de 20 minuts)</w:t>
            </w:r>
          </w:p>
        </w:tc>
        <w:tc>
          <w:tcPr>
            <w:tcW w:w="514" w:type="dxa"/>
            <w:vAlign w:val="center"/>
          </w:tcPr>
          <w:p w14:paraId="74BBE7B3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B4BE4D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1BF58EFB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67AE217" w14:textId="77777777" w:rsidR="00A64F89" w:rsidRPr="004867CC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X</w:t>
            </w:r>
          </w:p>
        </w:tc>
      </w:tr>
      <w:tr w:rsidR="00A64F89" w:rsidRPr="004867CC" w14:paraId="45491BFB" w14:textId="77777777" w:rsidTr="005D3982">
        <w:trPr>
          <w:jc w:val="center"/>
        </w:trPr>
        <w:tc>
          <w:tcPr>
            <w:tcW w:w="6658" w:type="dxa"/>
            <w:vAlign w:val="bottom"/>
          </w:tcPr>
          <w:p w14:paraId="76EE313B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>: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 xml:space="preserve"> correcte</w:t>
            </w:r>
          </w:p>
        </w:tc>
        <w:tc>
          <w:tcPr>
            <w:tcW w:w="514" w:type="dxa"/>
            <w:vAlign w:val="center"/>
          </w:tcPr>
          <w:p w14:paraId="2AE3A889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AC54C3C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7E0A8A09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755E7F5D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4867CC" w14:paraId="313B3249" w14:textId="77777777" w:rsidTr="005D3982">
        <w:trPr>
          <w:jc w:val="center"/>
        </w:trPr>
        <w:tc>
          <w:tcPr>
            <w:tcW w:w="6658" w:type="dxa"/>
            <w:vAlign w:val="bottom"/>
          </w:tcPr>
          <w:p w14:paraId="20C33624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: 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Insuficient (estat funcional correcte, elements d’imatge en mal estat)</w:t>
            </w:r>
          </w:p>
        </w:tc>
        <w:tc>
          <w:tcPr>
            <w:tcW w:w="514" w:type="dxa"/>
            <w:vAlign w:val="center"/>
          </w:tcPr>
          <w:p w14:paraId="7C00C144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440344C4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4C71DEC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477D693D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4867CC" w14:paraId="4A9572A0" w14:textId="77777777" w:rsidTr="005D3982">
        <w:trPr>
          <w:jc w:val="center"/>
        </w:trPr>
        <w:tc>
          <w:tcPr>
            <w:tcW w:w="6658" w:type="dxa"/>
            <w:vAlign w:val="bottom"/>
          </w:tcPr>
          <w:p w14:paraId="4704EE4A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: 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Defectuós (estat funcional en mal estat però l’equip funciona (parts oxidades o abonyegades), elements d’imatge en mal estat)</w:t>
            </w:r>
          </w:p>
        </w:tc>
        <w:tc>
          <w:tcPr>
            <w:tcW w:w="514" w:type="dxa"/>
            <w:vAlign w:val="center"/>
          </w:tcPr>
          <w:p w14:paraId="23366992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797CD3F6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44DC80F9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5A4CACF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4867CC" w14:paraId="4AFBEAF2" w14:textId="77777777" w:rsidTr="005D3982">
        <w:trPr>
          <w:jc w:val="center"/>
        </w:trPr>
        <w:tc>
          <w:tcPr>
            <w:tcW w:w="6658" w:type="dxa"/>
            <w:vAlign w:val="bottom"/>
          </w:tcPr>
          <w:p w14:paraId="625B429C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: 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Dolent (element no funciona o amb parts que falten i /o trencades, elements d’imatge en mal estat)</w:t>
            </w:r>
          </w:p>
        </w:tc>
        <w:tc>
          <w:tcPr>
            <w:tcW w:w="514" w:type="dxa"/>
            <w:vAlign w:val="center"/>
          </w:tcPr>
          <w:p w14:paraId="62173662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2F8E3408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7D6ED5F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20146F3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40E09EE0" w14:textId="77777777" w:rsidTr="005D3982">
        <w:trPr>
          <w:jc w:val="center"/>
        </w:trPr>
        <w:tc>
          <w:tcPr>
            <w:tcW w:w="6658" w:type="dxa"/>
            <w:vAlign w:val="bottom"/>
          </w:tcPr>
          <w:p w14:paraId="3D712ED0" w14:textId="76F60E3E" w:rsidR="00A64F89" w:rsidRPr="004867CC" w:rsidRDefault="00B55FAB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>
              <w:rPr>
                <w:rFonts w:ascii="Gilroy Light" w:hAnsi="Gilroy Light" w:cs="Calibri"/>
                <w:sz w:val="18"/>
                <w:szCs w:val="18"/>
              </w:rPr>
              <w:t xml:space="preserve">Estat uniforme personal: </w:t>
            </w:r>
            <w:r w:rsidR="00A64F89" w:rsidRPr="004867CC">
              <w:rPr>
                <w:rFonts w:ascii="Gilroy Light" w:hAnsi="Gilroy Light" w:cs="Calibri"/>
                <w:sz w:val="18"/>
                <w:szCs w:val="18"/>
              </w:rPr>
              <w:t xml:space="preserve">No portar l’uniforme net i </w:t>
            </w:r>
            <w:r w:rsidR="00CA0C02">
              <w:rPr>
                <w:rFonts w:ascii="Gilroy Light" w:hAnsi="Gilroy Light" w:cs="Calibri"/>
                <w:sz w:val="18"/>
                <w:szCs w:val="18"/>
              </w:rPr>
              <w:t>en bon estat</w:t>
            </w:r>
          </w:p>
        </w:tc>
        <w:tc>
          <w:tcPr>
            <w:tcW w:w="514" w:type="dxa"/>
            <w:vAlign w:val="center"/>
          </w:tcPr>
          <w:p w14:paraId="3A1DC6C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23601C6F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392F9B20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725EFB6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31D7750B" w14:textId="77777777" w:rsidTr="005D3982">
        <w:trPr>
          <w:jc w:val="center"/>
        </w:trPr>
        <w:tc>
          <w:tcPr>
            <w:tcW w:w="6658" w:type="dxa"/>
            <w:vAlign w:val="bottom"/>
          </w:tcPr>
          <w:p w14:paraId="353A269E" w14:textId="397BF093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No recolli</w:t>
            </w:r>
            <w:r w:rsidR="005D3982">
              <w:rPr>
                <w:rFonts w:ascii="Gilroy Light" w:hAnsi="Gilroy Light" w:cs="Calibri"/>
                <w:sz w:val="18"/>
                <w:szCs w:val="18"/>
              </w:rPr>
              <w:t>r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 xml:space="preserve"> el </w:t>
            </w:r>
            <w:r w:rsidR="005D3982" w:rsidRPr="005D3982">
              <w:rPr>
                <w:rFonts w:ascii="Gilroy Light" w:hAnsi="Gilroy Light" w:cs="Calibri"/>
                <w:sz w:val="18"/>
                <w:szCs w:val="18"/>
              </w:rPr>
              <w:t>residu fora dels contenidors de recollida selectiva, i no introduir cada residu en el contenidor apropiat</w:t>
            </w:r>
          </w:p>
        </w:tc>
        <w:tc>
          <w:tcPr>
            <w:tcW w:w="514" w:type="dxa"/>
            <w:vAlign w:val="center"/>
          </w:tcPr>
          <w:p w14:paraId="12E84FEC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754EC003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69292487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6A6B4F8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14F0D245" w14:textId="77777777" w:rsidTr="005D3982">
        <w:trPr>
          <w:jc w:val="center"/>
        </w:trPr>
        <w:tc>
          <w:tcPr>
            <w:tcW w:w="6658" w:type="dxa"/>
            <w:vAlign w:val="bottom"/>
          </w:tcPr>
          <w:p w14:paraId="31B1EFE7" w14:textId="4602FC55" w:rsidR="00A64F89" w:rsidRPr="002B0689" w:rsidRDefault="005D3982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2B0689">
              <w:rPr>
                <w:rFonts w:ascii="Gilroy Light" w:hAnsi="Gilroy Light" w:cs="Calibri"/>
                <w:sz w:val="18"/>
                <w:szCs w:val="18"/>
              </w:rPr>
              <w:t xml:space="preserve">Presència </w:t>
            </w:r>
            <w:r w:rsidR="00851E44" w:rsidRPr="002B0689">
              <w:rPr>
                <w:rFonts w:ascii="Gilroy Light" w:hAnsi="Gilroy Light" w:cs="Calibri"/>
                <w:sz w:val="18"/>
                <w:szCs w:val="18"/>
              </w:rPr>
              <w:t>de contenidors o gàbies</w:t>
            </w:r>
            <w:r w:rsidR="00A64F89" w:rsidRPr="002B0689">
              <w:rPr>
                <w:rFonts w:ascii="Gilroy Light" w:hAnsi="Gilroy Light" w:cs="Calibri"/>
                <w:sz w:val="18"/>
                <w:szCs w:val="18"/>
              </w:rPr>
              <w:t xml:space="preserve"> desborda</w:t>
            </w:r>
            <w:r w:rsidR="00851E44" w:rsidRPr="002B0689">
              <w:rPr>
                <w:rFonts w:ascii="Gilroy Light" w:hAnsi="Gilroy Light" w:cs="Calibri"/>
                <w:sz w:val="18"/>
                <w:szCs w:val="18"/>
              </w:rPr>
              <w:t>des</w:t>
            </w:r>
            <w:r w:rsidR="00A64F89" w:rsidRPr="002B0689">
              <w:rPr>
                <w:rFonts w:ascii="Gilroy Light" w:hAnsi="Gilroy Light" w:cs="Calibri"/>
                <w:sz w:val="18"/>
                <w:szCs w:val="18"/>
              </w:rPr>
              <w:t xml:space="preserve"> </w:t>
            </w:r>
            <w:r w:rsidRPr="002B0689">
              <w:rPr>
                <w:rFonts w:ascii="Gilroy Light" w:hAnsi="Gilroy Light" w:cs="Calibri"/>
                <w:sz w:val="18"/>
                <w:szCs w:val="18"/>
              </w:rPr>
              <w:t xml:space="preserve">més de </w:t>
            </w:r>
            <w:r w:rsidR="002A32F7" w:rsidRPr="002B0689">
              <w:rPr>
                <w:rFonts w:ascii="Gilroy Light" w:hAnsi="Gilroy Light" w:cs="Calibri"/>
                <w:sz w:val="18"/>
                <w:szCs w:val="18"/>
              </w:rPr>
              <w:t>12</w:t>
            </w:r>
            <w:r w:rsidRPr="002B0689">
              <w:rPr>
                <w:rFonts w:ascii="Gilroy Light" w:hAnsi="Gilroy Light" w:cs="Calibri"/>
                <w:sz w:val="18"/>
                <w:szCs w:val="18"/>
              </w:rPr>
              <w:t xml:space="preserve"> h</w:t>
            </w:r>
          </w:p>
        </w:tc>
        <w:tc>
          <w:tcPr>
            <w:tcW w:w="514" w:type="dxa"/>
            <w:vAlign w:val="center"/>
          </w:tcPr>
          <w:p w14:paraId="124D40A5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38B5B79C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2E51A1F5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0CBEF605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2801CAFC" w14:textId="77777777" w:rsidTr="005D3982">
        <w:trPr>
          <w:jc w:val="center"/>
        </w:trPr>
        <w:tc>
          <w:tcPr>
            <w:tcW w:w="6658" w:type="dxa"/>
            <w:vAlign w:val="bottom"/>
          </w:tcPr>
          <w:p w14:paraId="75BF5A3C" w14:textId="77777777" w:rsidR="00A64F89" w:rsidRPr="002B0689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2B0689">
              <w:rPr>
                <w:rFonts w:ascii="Gilroy Light" w:hAnsi="Gilroy Light" w:cs="Calibri"/>
                <w:sz w:val="18"/>
                <w:szCs w:val="18"/>
              </w:rPr>
              <w:t>Deixar contenidors de la ruta sense recollir: Menys del 5%</w:t>
            </w:r>
          </w:p>
        </w:tc>
        <w:tc>
          <w:tcPr>
            <w:tcW w:w="514" w:type="dxa"/>
            <w:vAlign w:val="center"/>
          </w:tcPr>
          <w:p w14:paraId="48F5A057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1214FCD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4A350977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6FB90500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348AD365" w14:textId="77777777" w:rsidTr="005D3982">
        <w:trPr>
          <w:jc w:val="center"/>
        </w:trPr>
        <w:tc>
          <w:tcPr>
            <w:tcW w:w="6658" w:type="dxa"/>
            <w:vAlign w:val="bottom"/>
          </w:tcPr>
          <w:p w14:paraId="67D4F44B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Deixar contenidors de la ruta sense recollir</w:t>
            </w:r>
            <w:r>
              <w:rPr>
                <w:rFonts w:ascii="Gilroy Light" w:hAnsi="Gilroy Light" w:cs="Calibri"/>
                <w:sz w:val="18"/>
                <w:szCs w:val="18"/>
              </w:rPr>
              <w:t>: Entre el 5% i el 10%</w:t>
            </w:r>
          </w:p>
        </w:tc>
        <w:tc>
          <w:tcPr>
            <w:tcW w:w="514" w:type="dxa"/>
            <w:vAlign w:val="center"/>
          </w:tcPr>
          <w:p w14:paraId="6FACDDC6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55C4F0C9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7F56329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28E000C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6D5FA85F" w14:textId="77777777" w:rsidTr="005D3982">
        <w:trPr>
          <w:jc w:val="center"/>
        </w:trPr>
        <w:tc>
          <w:tcPr>
            <w:tcW w:w="6658" w:type="dxa"/>
            <w:vAlign w:val="bottom"/>
          </w:tcPr>
          <w:p w14:paraId="4CDCA242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Deixar contenidors de la ruta sense recollir</w:t>
            </w:r>
            <w:r>
              <w:rPr>
                <w:rFonts w:ascii="Gilroy Light" w:hAnsi="Gilroy Light" w:cs="Calibri"/>
                <w:sz w:val="18"/>
                <w:szCs w:val="18"/>
              </w:rPr>
              <w:t>: Entre el 10% i el 20%</w:t>
            </w:r>
          </w:p>
        </w:tc>
        <w:tc>
          <w:tcPr>
            <w:tcW w:w="514" w:type="dxa"/>
            <w:vAlign w:val="center"/>
          </w:tcPr>
          <w:p w14:paraId="47498C47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6B975283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274559D0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2A933B8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3CD2EBE8" w14:textId="77777777" w:rsidTr="005D3982">
        <w:trPr>
          <w:jc w:val="center"/>
        </w:trPr>
        <w:tc>
          <w:tcPr>
            <w:tcW w:w="6658" w:type="dxa"/>
            <w:vAlign w:val="bottom"/>
          </w:tcPr>
          <w:p w14:paraId="09CB27CC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Deixar contenidors de la ruta sense recollir</w:t>
            </w:r>
            <w:r>
              <w:rPr>
                <w:rFonts w:ascii="Gilroy Light" w:hAnsi="Gilroy Light" w:cs="Calibri"/>
                <w:sz w:val="18"/>
                <w:szCs w:val="18"/>
              </w:rPr>
              <w:t>: Més del 20%</w:t>
            </w:r>
          </w:p>
        </w:tc>
        <w:tc>
          <w:tcPr>
            <w:tcW w:w="514" w:type="dxa"/>
            <w:vAlign w:val="center"/>
          </w:tcPr>
          <w:p w14:paraId="51C26425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2988D1A2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00DF06CD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07149CE0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4971AE99" w14:textId="77777777" w:rsidTr="005D3982">
        <w:trPr>
          <w:jc w:val="center"/>
        </w:trPr>
        <w:tc>
          <w:tcPr>
            <w:tcW w:w="6658" w:type="dxa"/>
            <w:vAlign w:val="bottom"/>
          </w:tcPr>
          <w:p w14:paraId="18D98816" w14:textId="276F3098" w:rsidR="00A64F89" w:rsidRPr="00E83C1A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>
              <w:rPr>
                <w:rFonts w:ascii="Gilroy Light" w:hAnsi="Gilroy Light" w:cs="Calibri"/>
                <w:sz w:val="18"/>
                <w:szCs w:val="18"/>
              </w:rPr>
              <w:t xml:space="preserve">No retornar correctament els </w:t>
            </w:r>
            <w:r w:rsidR="001A64E6">
              <w:rPr>
                <w:rFonts w:ascii="Gilroy Light" w:hAnsi="Gilroy Light" w:cs="Calibri"/>
                <w:sz w:val="18"/>
                <w:szCs w:val="18"/>
              </w:rPr>
              <w:t>contenidors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 al punt on s’han </w:t>
            </w:r>
            <w:r w:rsidRPr="00E83C1A">
              <w:rPr>
                <w:rFonts w:ascii="Gilroy Light" w:hAnsi="Gilroy Light" w:cs="Calibri"/>
                <w:sz w:val="18"/>
                <w:szCs w:val="18"/>
              </w:rPr>
              <w:t>recolli</w:t>
            </w:r>
            <w:r>
              <w:rPr>
                <w:rFonts w:ascii="Gilroy Light" w:hAnsi="Gilroy Light" w:cs="Calibri"/>
                <w:sz w:val="18"/>
                <w:szCs w:val="18"/>
              </w:rPr>
              <w:t>t</w:t>
            </w:r>
            <w:r w:rsidRPr="00E83C1A">
              <w:rPr>
                <w:rFonts w:ascii="Gilroy Light" w:hAnsi="Gilroy Light" w:cs="Calibri"/>
                <w:sz w:val="18"/>
                <w:szCs w:val="18"/>
              </w:rPr>
              <w:t>: Menys del 5%</w:t>
            </w:r>
          </w:p>
        </w:tc>
        <w:tc>
          <w:tcPr>
            <w:tcW w:w="514" w:type="dxa"/>
            <w:vAlign w:val="center"/>
          </w:tcPr>
          <w:p w14:paraId="6C466D4F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4DC6E2D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777BA590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5D8B70C2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38C941D8" w14:textId="77777777" w:rsidTr="005D3982">
        <w:trPr>
          <w:jc w:val="center"/>
        </w:trPr>
        <w:tc>
          <w:tcPr>
            <w:tcW w:w="6658" w:type="dxa"/>
            <w:vAlign w:val="bottom"/>
          </w:tcPr>
          <w:p w14:paraId="2944018B" w14:textId="7E61A9C1" w:rsidR="00A64F89" w:rsidRPr="00E83C1A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6E22E9">
              <w:rPr>
                <w:rFonts w:ascii="Gilroy Light" w:hAnsi="Gilroy Light" w:cs="Calibri"/>
                <w:sz w:val="18"/>
                <w:szCs w:val="18"/>
              </w:rPr>
              <w:t xml:space="preserve">No retornar correctament els </w:t>
            </w:r>
            <w:r w:rsidR="001A64E6">
              <w:rPr>
                <w:rFonts w:ascii="Gilroy Light" w:hAnsi="Gilroy Light" w:cs="Calibri"/>
                <w:sz w:val="18"/>
                <w:szCs w:val="18"/>
              </w:rPr>
              <w:t>contenidors</w:t>
            </w:r>
            <w:r w:rsidRPr="006E22E9">
              <w:rPr>
                <w:rFonts w:ascii="Gilroy Light" w:hAnsi="Gilroy Light" w:cs="Calibri"/>
                <w:sz w:val="18"/>
                <w:szCs w:val="18"/>
              </w:rPr>
              <w:t xml:space="preserve"> al punt on s’han recollit</w:t>
            </w:r>
            <w:r w:rsidRPr="00E83C1A">
              <w:rPr>
                <w:rFonts w:ascii="Gilroy Light" w:hAnsi="Gilroy Light" w:cs="Calibri"/>
                <w:sz w:val="18"/>
                <w:szCs w:val="18"/>
              </w:rPr>
              <w:t>: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 Entre el 5% i el 10%</w:t>
            </w:r>
          </w:p>
        </w:tc>
        <w:tc>
          <w:tcPr>
            <w:tcW w:w="514" w:type="dxa"/>
            <w:vAlign w:val="center"/>
          </w:tcPr>
          <w:p w14:paraId="30FC02C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4F0402A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67E6C9DC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1BDAED2B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72F8F068" w14:textId="77777777" w:rsidTr="005D3982">
        <w:trPr>
          <w:jc w:val="center"/>
        </w:trPr>
        <w:tc>
          <w:tcPr>
            <w:tcW w:w="6658" w:type="dxa"/>
            <w:vAlign w:val="bottom"/>
          </w:tcPr>
          <w:p w14:paraId="1BEFD04A" w14:textId="210E3C9E" w:rsidR="00A64F89" w:rsidRPr="00E83C1A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6E22E9">
              <w:rPr>
                <w:rFonts w:ascii="Gilroy Light" w:hAnsi="Gilroy Light" w:cs="Calibri"/>
                <w:sz w:val="18"/>
                <w:szCs w:val="18"/>
              </w:rPr>
              <w:t xml:space="preserve">No retornar correctament els </w:t>
            </w:r>
            <w:r w:rsidR="001A64E6">
              <w:rPr>
                <w:rFonts w:ascii="Gilroy Light" w:hAnsi="Gilroy Light" w:cs="Calibri"/>
                <w:sz w:val="18"/>
                <w:szCs w:val="18"/>
              </w:rPr>
              <w:t>contenidors</w:t>
            </w:r>
            <w:r w:rsidRPr="006E22E9">
              <w:rPr>
                <w:rFonts w:ascii="Gilroy Light" w:hAnsi="Gilroy Light" w:cs="Calibri"/>
                <w:sz w:val="18"/>
                <w:szCs w:val="18"/>
              </w:rPr>
              <w:t xml:space="preserve"> al punt on s’han recollit</w:t>
            </w:r>
            <w:r w:rsidRPr="00E83C1A">
              <w:rPr>
                <w:rFonts w:ascii="Gilroy Light" w:hAnsi="Gilroy Light" w:cs="Calibri"/>
                <w:sz w:val="18"/>
                <w:szCs w:val="18"/>
              </w:rPr>
              <w:t>: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 Entre el 10% </w:t>
            </w:r>
            <w:r>
              <w:rPr>
                <w:rFonts w:ascii="Gilroy Light" w:hAnsi="Gilroy Light" w:cs="Calibri"/>
                <w:sz w:val="18"/>
                <w:szCs w:val="18"/>
              </w:rPr>
              <w:lastRenderedPageBreak/>
              <w:t>i el 20%</w:t>
            </w:r>
          </w:p>
        </w:tc>
        <w:tc>
          <w:tcPr>
            <w:tcW w:w="514" w:type="dxa"/>
            <w:vAlign w:val="center"/>
          </w:tcPr>
          <w:p w14:paraId="5A167209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2A21A43A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67A6208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6B3BDF78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249CA6CA" w14:textId="77777777" w:rsidTr="005D3982">
        <w:trPr>
          <w:jc w:val="center"/>
        </w:trPr>
        <w:tc>
          <w:tcPr>
            <w:tcW w:w="6658" w:type="dxa"/>
            <w:vAlign w:val="bottom"/>
          </w:tcPr>
          <w:p w14:paraId="532BC2B0" w14:textId="1D1AEDFA" w:rsidR="00A64F89" w:rsidRPr="00E83C1A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6E22E9">
              <w:rPr>
                <w:rFonts w:ascii="Gilroy Light" w:hAnsi="Gilroy Light" w:cs="Calibri"/>
                <w:sz w:val="18"/>
                <w:szCs w:val="18"/>
              </w:rPr>
              <w:t xml:space="preserve">No retornar correctament els </w:t>
            </w:r>
            <w:r w:rsidR="001A64E6">
              <w:rPr>
                <w:rFonts w:ascii="Gilroy Light" w:hAnsi="Gilroy Light" w:cs="Calibri"/>
                <w:sz w:val="18"/>
                <w:szCs w:val="18"/>
              </w:rPr>
              <w:t>contenidors</w:t>
            </w:r>
            <w:r w:rsidRPr="006E22E9">
              <w:rPr>
                <w:rFonts w:ascii="Gilroy Light" w:hAnsi="Gilroy Light" w:cs="Calibri"/>
                <w:sz w:val="18"/>
                <w:szCs w:val="18"/>
              </w:rPr>
              <w:t xml:space="preserve"> al punt on s’han recollit</w:t>
            </w:r>
            <w:r w:rsidRPr="00E83C1A">
              <w:rPr>
                <w:rFonts w:ascii="Gilroy Light" w:hAnsi="Gilroy Light" w:cs="Calibri"/>
                <w:sz w:val="18"/>
                <w:szCs w:val="18"/>
              </w:rPr>
              <w:t>: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 Més del 20%</w:t>
            </w:r>
          </w:p>
        </w:tc>
        <w:tc>
          <w:tcPr>
            <w:tcW w:w="514" w:type="dxa"/>
            <w:vAlign w:val="center"/>
          </w:tcPr>
          <w:p w14:paraId="50D8ABFC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234AB86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04919A7F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60E0A166" w14:textId="77777777" w:rsidR="00A64F89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4A76C3D2" w14:textId="77777777" w:rsidTr="005D3982">
        <w:trPr>
          <w:jc w:val="center"/>
        </w:trPr>
        <w:tc>
          <w:tcPr>
            <w:tcW w:w="6658" w:type="dxa"/>
            <w:vAlign w:val="bottom"/>
          </w:tcPr>
          <w:p w14:paraId="28B759F8" w14:textId="7D850273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Efectuar tria o recerca de productes en contenidors</w:t>
            </w:r>
          </w:p>
        </w:tc>
        <w:tc>
          <w:tcPr>
            <w:tcW w:w="514" w:type="dxa"/>
            <w:vAlign w:val="center"/>
          </w:tcPr>
          <w:p w14:paraId="1D03369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1F5315B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5175619A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1F2E3367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7578650C" w14:textId="77777777" w:rsidTr="005D3982">
        <w:trPr>
          <w:jc w:val="center"/>
        </w:trPr>
        <w:tc>
          <w:tcPr>
            <w:tcW w:w="6658" w:type="dxa"/>
            <w:vAlign w:val="bottom"/>
          </w:tcPr>
          <w:p w14:paraId="49431B1E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Canviar el torn previst per un equip de servei</w:t>
            </w:r>
          </w:p>
        </w:tc>
        <w:tc>
          <w:tcPr>
            <w:tcW w:w="514" w:type="dxa"/>
            <w:vAlign w:val="center"/>
          </w:tcPr>
          <w:p w14:paraId="2E7420D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381CDB3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46133B54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6AD7D7A2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74A1E70D" w14:textId="77777777" w:rsidTr="005D3982">
        <w:trPr>
          <w:jc w:val="center"/>
        </w:trPr>
        <w:tc>
          <w:tcPr>
            <w:tcW w:w="6658" w:type="dxa"/>
            <w:vAlign w:val="bottom"/>
          </w:tcPr>
          <w:p w14:paraId="6600928A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 xml:space="preserve">No neteja de la totalitat de contenidors previstos </w:t>
            </w:r>
          </w:p>
        </w:tc>
        <w:tc>
          <w:tcPr>
            <w:tcW w:w="514" w:type="dxa"/>
            <w:vAlign w:val="center"/>
          </w:tcPr>
          <w:p w14:paraId="3F02943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60FD0B3F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66A5671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7271038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759509EE" w14:textId="77777777" w:rsidTr="005D3982">
        <w:trPr>
          <w:jc w:val="center"/>
        </w:trPr>
        <w:tc>
          <w:tcPr>
            <w:tcW w:w="6658" w:type="dxa"/>
            <w:vAlign w:val="bottom"/>
          </w:tcPr>
          <w:p w14:paraId="0229CBCC" w14:textId="77777777" w:rsidR="00A64F89" w:rsidRPr="004867CC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No neteja en les freqüències de rentat interior/exterior previstes</w:t>
            </w:r>
          </w:p>
        </w:tc>
        <w:tc>
          <w:tcPr>
            <w:tcW w:w="514" w:type="dxa"/>
            <w:vAlign w:val="center"/>
          </w:tcPr>
          <w:p w14:paraId="187BFE25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67D18B49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6CD9690D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6BA00963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508651F9" w14:textId="77777777" w:rsidTr="005D3982">
        <w:trPr>
          <w:jc w:val="center"/>
        </w:trPr>
        <w:tc>
          <w:tcPr>
            <w:tcW w:w="6658" w:type="dxa"/>
            <w:vAlign w:val="bottom"/>
          </w:tcPr>
          <w:p w14:paraId="55142B0C" w14:textId="26340A5E" w:rsidR="00A64F89" w:rsidRPr="00964DB0" w:rsidRDefault="00A64F89" w:rsidP="00C45E3B">
            <w:pPr>
              <w:pStyle w:val="Textoindependiente3"/>
              <w:tabs>
                <w:tab w:val="left" w:pos="3570"/>
              </w:tabs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06212">
              <w:rPr>
                <w:rFonts w:ascii="Gilroy Light" w:hAnsi="Gilroy Light" w:cs="Calibri"/>
                <w:sz w:val="18"/>
                <w:szCs w:val="18"/>
              </w:rPr>
              <w:t>Pèrdua de lixiviats i líquids provinents de la compressió dels residus</w:t>
            </w:r>
            <w:r w:rsidR="00B55FAB">
              <w:rPr>
                <w:rFonts w:ascii="Gilroy Light" w:hAnsi="Gilroy Light" w:cs="Calibri"/>
                <w:sz w:val="18"/>
                <w:szCs w:val="18"/>
              </w:rPr>
              <w:t xml:space="preserve"> als recol·lectors</w:t>
            </w:r>
          </w:p>
        </w:tc>
        <w:tc>
          <w:tcPr>
            <w:tcW w:w="514" w:type="dxa"/>
            <w:vAlign w:val="center"/>
          </w:tcPr>
          <w:p w14:paraId="01C45D0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65319E12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3B8A1227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3AE72514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24B0052D" w14:textId="77777777" w:rsidTr="005D3982">
        <w:trPr>
          <w:jc w:val="center"/>
        </w:trPr>
        <w:tc>
          <w:tcPr>
            <w:tcW w:w="6658" w:type="dxa"/>
            <w:vAlign w:val="bottom"/>
          </w:tcPr>
          <w:p w14:paraId="4C0391E7" w14:textId="77777777" w:rsidR="00A64F89" w:rsidRPr="006C5684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Buidat de les aigües brutes dels rentacontenidors en embornals</w:t>
            </w:r>
          </w:p>
        </w:tc>
        <w:tc>
          <w:tcPr>
            <w:tcW w:w="514" w:type="dxa"/>
            <w:vAlign w:val="center"/>
          </w:tcPr>
          <w:p w14:paraId="40011998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053FAB6C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76A0017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7365D52D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26C7B98E" w14:textId="77777777" w:rsidTr="005D3982">
        <w:trPr>
          <w:jc w:val="center"/>
        </w:trPr>
        <w:tc>
          <w:tcPr>
            <w:tcW w:w="6658" w:type="dxa"/>
            <w:vAlign w:val="bottom"/>
          </w:tcPr>
          <w:p w14:paraId="0FC3637F" w14:textId="23482567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Agafar aigua per la neteja </w:t>
            </w:r>
            <w:r w:rsidR="00C617F7">
              <w:rPr>
                <w:rFonts w:ascii="Gilroy Light" w:hAnsi="Gilroy Light" w:cs="Calibri"/>
                <w:sz w:val="18"/>
                <w:szCs w:val="18"/>
              </w:rPr>
              <w:t>en</w:t>
            </w: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 punts no autoritzats</w:t>
            </w:r>
          </w:p>
        </w:tc>
        <w:tc>
          <w:tcPr>
            <w:tcW w:w="514" w:type="dxa"/>
            <w:vAlign w:val="center"/>
          </w:tcPr>
          <w:p w14:paraId="55CCB1F0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28D323DF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4713FA21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646F8ED7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30D3DD11" w14:textId="77777777" w:rsidTr="005D3982">
        <w:trPr>
          <w:jc w:val="center"/>
        </w:trPr>
        <w:tc>
          <w:tcPr>
            <w:tcW w:w="6658" w:type="dxa"/>
            <w:vAlign w:val="bottom"/>
          </w:tcPr>
          <w:p w14:paraId="57264231" w14:textId="77777777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Manca d’un contenidor en la seva ubicació establerta</w:t>
            </w:r>
          </w:p>
        </w:tc>
        <w:tc>
          <w:tcPr>
            <w:tcW w:w="514" w:type="dxa"/>
            <w:vAlign w:val="center"/>
          </w:tcPr>
          <w:p w14:paraId="71C6482F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5ECC32FA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5ACC7D0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71E672ED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7FE67D38" w14:textId="77777777" w:rsidTr="005D3982">
        <w:trPr>
          <w:jc w:val="center"/>
        </w:trPr>
        <w:tc>
          <w:tcPr>
            <w:tcW w:w="6658" w:type="dxa"/>
            <w:vAlign w:val="bottom"/>
          </w:tcPr>
          <w:p w14:paraId="4AD4AF77" w14:textId="77777777" w:rsidR="00A64F89" w:rsidRPr="0087585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875854">
              <w:rPr>
                <w:rFonts w:ascii="Gilroy Light" w:hAnsi="Gilroy Light" w:cs="Calibri"/>
                <w:sz w:val="18"/>
                <w:szCs w:val="18"/>
              </w:rPr>
              <w:t>Mala col·locació dels contenidors en la seva ubicació</w:t>
            </w:r>
          </w:p>
        </w:tc>
        <w:tc>
          <w:tcPr>
            <w:tcW w:w="514" w:type="dxa"/>
            <w:vAlign w:val="center"/>
          </w:tcPr>
          <w:p w14:paraId="5C5C3D59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59AA665B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14:paraId="7925A7E4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34A6D92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6CC044FF" w14:textId="77777777" w:rsidTr="005D3982">
        <w:trPr>
          <w:jc w:val="center"/>
        </w:trPr>
        <w:tc>
          <w:tcPr>
            <w:tcW w:w="6658" w:type="dxa"/>
            <w:vAlign w:val="bottom"/>
          </w:tcPr>
          <w:p w14:paraId="58BF0A60" w14:textId="70820504" w:rsidR="00A64F89" w:rsidRPr="006C5684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Altres incompliments (en funció de</w:t>
            </w:r>
            <w:r w:rsidR="00C617F7">
              <w:rPr>
                <w:rFonts w:ascii="Gilroy Light" w:hAnsi="Gilroy Light" w:cs="Calibri"/>
                <w:sz w:val="18"/>
                <w:szCs w:val="18"/>
              </w:rPr>
              <w:t xml:space="preserve"> l'</w:t>
            </w:r>
            <w:r w:rsidRPr="006C5684">
              <w:rPr>
                <w:rFonts w:ascii="Gilroy Light" w:hAnsi="Gilroy Light" w:cs="Calibri"/>
                <w:sz w:val="18"/>
                <w:szCs w:val="18"/>
              </w:rPr>
              <w:t>incompliment)</w:t>
            </w:r>
          </w:p>
        </w:tc>
        <w:tc>
          <w:tcPr>
            <w:tcW w:w="514" w:type="dxa"/>
            <w:vAlign w:val="center"/>
          </w:tcPr>
          <w:p w14:paraId="33FDFCC3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31D69EA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11924AE3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16" w:type="dxa"/>
            <w:vAlign w:val="center"/>
          </w:tcPr>
          <w:p w14:paraId="344F997E" w14:textId="77777777" w:rsidR="00A64F89" w:rsidRPr="00A43A8A" w:rsidRDefault="00A64F89" w:rsidP="00C45E3B">
            <w:pPr>
              <w:pStyle w:val="Textoindependiente3"/>
              <w:spacing w:after="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</w:tbl>
    <w:p w14:paraId="3434101C" w14:textId="6D6314CD" w:rsidR="00605DC4" w:rsidRDefault="00605DC4" w:rsidP="00953D2F">
      <w:pPr>
        <w:pStyle w:val="Normal11"/>
        <w:spacing w:after="120"/>
        <w:rPr>
          <w:rFonts w:ascii="Gilroy Medium" w:eastAsia="Times" w:hAnsi="Gilroy Medium" w:cstheme="majorHAnsi"/>
          <w:sz w:val="20"/>
          <w:szCs w:val="20"/>
          <w:lang w:eastAsia="es-ES"/>
        </w:rPr>
      </w:pPr>
    </w:p>
    <w:p w14:paraId="75D77097" w14:textId="59B0FB5F" w:rsidR="00A64F89" w:rsidRPr="00953D2F" w:rsidRDefault="00A64F89" w:rsidP="00953D2F">
      <w:pPr>
        <w:pStyle w:val="Normal11"/>
        <w:spacing w:after="120"/>
        <w:rPr>
          <w:rFonts w:ascii="Gilroy Medium" w:eastAsia="Times" w:hAnsi="Gilroy Medium" w:cstheme="majorHAnsi"/>
          <w:sz w:val="20"/>
          <w:szCs w:val="20"/>
          <w:lang w:eastAsia="es-ES"/>
        </w:rPr>
      </w:pPr>
      <w:r>
        <w:rPr>
          <w:rFonts w:ascii="Gilroy Medium" w:eastAsia="Times" w:hAnsi="Gilroy Medium" w:cstheme="majorHAnsi"/>
          <w:sz w:val="20"/>
          <w:szCs w:val="20"/>
          <w:lang w:eastAsia="es-ES"/>
        </w:rPr>
        <w:t xml:space="preserve">1.2. </w:t>
      </w:r>
      <w:r w:rsidRPr="00A64F89">
        <w:rPr>
          <w:rFonts w:ascii="Gilroy Medium" w:eastAsia="Times" w:hAnsi="Gilroy Medium" w:cstheme="majorHAnsi"/>
          <w:sz w:val="20"/>
          <w:szCs w:val="20"/>
          <w:lang w:eastAsia="es-ES"/>
        </w:rPr>
        <w:t>NETEJA VIÀRIA</w:t>
      </w:r>
      <w:r w:rsidR="00CA0C02">
        <w:rPr>
          <w:rFonts w:ascii="Gilroy Medium" w:eastAsia="Times" w:hAnsi="Gilroy Medium" w:cstheme="majorHAnsi"/>
          <w:sz w:val="20"/>
          <w:szCs w:val="20"/>
          <w:lang w:eastAsia="es-ES"/>
        </w:rPr>
        <w:t xml:space="preserve"> I DE MERCATS</w:t>
      </w:r>
    </w:p>
    <w:tbl>
      <w:tblPr>
        <w:tblW w:w="87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1"/>
        <w:gridCol w:w="567"/>
        <w:gridCol w:w="425"/>
        <w:gridCol w:w="425"/>
        <w:gridCol w:w="567"/>
      </w:tblGrid>
      <w:tr w:rsidR="00A64F89" w:rsidRPr="00A43A8A" w14:paraId="19E3E3AD" w14:textId="77777777" w:rsidTr="00E85F70">
        <w:trPr>
          <w:cantSplit/>
          <w:trHeight w:val="1843"/>
          <w:tblHeader/>
        </w:trPr>
        <w:tc>
          <w:tcPr>
            <w:tcW w:w="6741" w:type="dxa"/>
            <w:shd w:val="clear" w:color="auto" w:fill="EDEDED" w:themeFill="accent3" w:themeFillTint="33"/>
          </w:tcPr>
          <w:p w14:paraId="2D1A3BFB" w14:textId="77777777" w:rsidR="00A64F89" w:rsidRPr="00096969" w:rsidRDefault="00A64F89" w:rsidP="00C45E3B">
            <w:pPr>
              <w:spacing w:before="120"/>
              <w:rPr>
                <w:rFonts w:ascii="Gilroy Medium" w:hAnsi="Gilroy Medium" w:cs="Calibri"/>
                <w:sz w:val="20"/>
                <w:szCs w:val="20"/>
              </w:rPr>
            </w:pPr>
          </w:p>
          <w:p w14:paraId="627BC953" w14:textId="77777777" w:rsidR="00A64F89" w:rsidRPr="00096969" w:rsidRDefault="00A64F89" w:rsidP="00C45E3B">
            <w:pPr>
              <w:spacing w:before="120"/>
              <w:rPr>
                <w:rFonts w:ascii="Gilroy Medium" w:hAnsi="Gilroy Medium" w:cs="Calibri"/>
                <w:sz w:val="20"/>
                <w:szCs w:val="20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INCOMPLIMENT DE LES NORMES</w:t>
            </w:r>
          </w:p>
          <w:p w14:paraId="41E75762" w14:textId="007B18E4" w:rsidR="00A64F89" w:rsidRPr="00096969" w:rsidRDefault="00A64F89" w:rsidP="00C45E3B">
            <w:pPr>
              <w:spacing w:before="120"/>
              <w:rPr>
                <w:rFonts w:ascii="Gilroy Medium" w:hAnsi="Gilroy Medium" w:cs="Calibri"/>
                <w:sz w:val="20"/>
                <w:szCs w:val="20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Neteja Viària</w:t>
            </w:r>
            <w:r w:rsidR="00CA0C02">
              <w:rPr>
                <w:rFonts w:ascii="Gilroy Medium" w:hAnsi="Gilroy Medium" w:cs="Calibri"/>
                <w:sz w:val="20"/>
                <w:szCs w:val="20"/>
              </w:rPr>
              <w:t xml:space="preserve"> i de mercats</w:t>
            </w:r>
          </w:p>
        </w:tc>
        <w:tc>
          <w:tcPr>
            <w:tcW w:w="567" w:type="dxa"/>
            <w:shd w:val="clear" w:color="auto" w:fill="EDEDED" w:themeFill="accent3" w:themeFillTint="33"/>
            <w:textDirection w:val="btLr"/>
          </w:tcPr>
          <w:p w14:paraId="63102975" w14:textId="77777777" w:rsidR="00A64F89" w:rsidRPr="00096969" w:rsidRDefault="00A64F89" w:rsidP="00E85F70">
            <w:pPr>
              <w:spacing w:after="0"/>
              <w:rPr>
                <w:rFonts w:ascii="Gilroy Medium" w:hAnsi="Gilroy Medium" w:cs="Calibri"/>
                <w:sz w:val="20"/>
                <w:szCs w:val="20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MOLT SATISFACTORI</w:t>
            </w:r>
          </w:p>
        </w:tc>
        <w:tc>
          <w:tcPr>
            <w:tcW w:w="425" w:type="dxa"/>
            <w:shd w:val="clear" w:color="auto" w:fill="EDEDED" w:themeFill="accent3" w:themeFillTint="33"/>
            <w:textDirection w:val="btLr"/>
          </w:tcPr>
          <w:p w14:paraId="7E136C0E" w14:textId="77777777" w:rsidR="00A64F89" w:rsidRPr="00096969" w:rsidRDefault="00A64F89" w:rsidP="00E85F70">
            <w:pPr>
              <w:spacing w:after="0"/>
              <w:rPr>
                <w:rFonts w:ascii="Gilroy Medium" w:hAnsi="Gilroy Medium" w:cs="Calibri"/>
                <w:sz w:val="20"/>
                <w:szCs w:val="20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SATISFACTORI</w:t>
            </w:r>
          </w:p>
        </w:tc>
        <w:tc>
          <w:tcPr>
            <w:tcW w:w="425" w:type="dxa"/>
            <w:shd w:val="clear" w:color="auto" w:fill="EDEDED" w:themeFill="accent3" w:themeFillTint="33"/>
            <w:textDirection w:val="btLr"/>
          </w:tcPr>
          <w:p w14:paraId="4A254D45" w14:textId="77777777" w:rsidR="00A64F89" w:rsidRPr="00096969" w:rsidRDefault="00A64F89" w:rsidP="00E85F70">
            <w:pPr>
              <w:spacing w:after="0"/>
              <w:rPr>
                <w:rFonts w:ascii="Gilroy Medium" w:hAnsi="Gilroy Medium" w:cs="Calibri"/>
                <w:sz w:val="20"/>
                <w:szCs w:val="20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NO SATISFACTORI</w:t>
            </w:r>
          </w:p>
        </w:tc>
        <w:tc>
          <w:tcPr>
            <w:tcW w:w="567" w:type="dxa"/>
            <w:shd w:val="clear" w:color="auto" w:fill="EDEDED" w:themeFill="accent3" w:themeFillTint="33"/>
            <w:textDirection w:val="btLr"/>
          </w:tcPr>
          <w:p w14:paraId="14123765" w14:textId="77777777" w:rsidR="00A64F89" w:rsidRPr="00096969" w:rsidRDefault="00A64F89" w:rsidP="00E85F70">
            <w:pPr>
              <w:spacing w:after="0"/>
              <w:rPr>
                <w:rFonts w:ascii="Gilroy Medium" w:hAnsi="Gilroy Medium" w:cs="Calibri"/>
                <w:sz w:val="20"/>
                <w:szCs w:val="20"/>
              </w:rPr>
            </w:pPr>
            <w:r w:rsidRPr="00096969">
              <w:rPr>
                <w:rFonts w:ascii="Gilroy Medium" w:hAnsi="Gilroy Medium" w:cs="Calibri"/>
                <w:sz w:val="20"/>
                <w:szCs w:val="20"/>
              </w:rPr>
              <w:t>GENS SATISFACTORI</w:t>
            </w:r>
          </w:p>
        </w:tc>
      </w:tr>
      <w:tr w:rsidR="00A64F89" w:rsidRPr="00A43A8A" w14:paraId="7D678B55" w14:textId="77777777" w:rsidTr="00E85F70">
        <w:tc>
          <w:tcPr>
            <w:tcW w:w="6741" w:type="dxa"/>
            <w:vAlign w:val="center"/>
          </w:tcPr>
          <w:p w14:paraId="56A23059" w14:textId="77777777" w:rsidR="00A64F89" w:rsidRPr="006C5684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No seguir l’itinerari previst per causes injustificades</w:t>
            </w:r>
          </w:p>
        </w:tc>
        <w:tc>
          <w:tcPr>
            <w:tcW w:w="567" w:type="dxa"/>
          </w:tcPr>
          <w:p w14:paraId="2725B1A2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1C4B85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8A2BF3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3C4BBDB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03C69EBD" w14:textId="77777777" w:rsidTr="00E85F70">
        <w:tc>
          <w:tcPr>
            <w:tcW w:w="6741" w:type="dxa"/>
            <w:vAlign w:val="center"/>
          </w:tcPr>
          <w:p w14:paraId="7E328EE0" w14:textId="77777777" w:rsidR="00A64F89" w:rsidRPr="006C5684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>
              <w:rPr>
                <w:rFonts w:ascii="Gilroy Light" w:hAnsi="Gilroy Light" w:cs="Calibri"/>
                <w:sz w:val="18"/>
                <w:szCs w:val="18"/>
              </w:rPr>
              <w:t>Sense cap p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arada temporal dels equips sense causa justificada</w:t>
            </w:r>
          </w:p>
        </w:tc>
        <w:tc>
          <w:tcPr>
            <w:tcW w:w="567" w:type="dxa"/>
          </w:tcPr>
          <w:p w14:paraId="74A0154B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3C5DCA12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1DD6B3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C279C8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5C82AFD3" w14:textId="77777777" w:rsidTr="00E85F70">
        <w:tc>
          <w:tcPr>
            <w:tcW w:w="6741" w:type="dxa"/>
            <w:vAlign w:val="center"/>
          </w:tcPr>
          <w:p w14:paraId="75C46B29" w14:textId="77777777" w:rsidR="00A64F89" w:rsidRPr="006C5684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Parada temporal dels equips sense causa justificada (Entre 5 i 10 minuts)</w:t>
            </w:r>
          </w:p>
        </w:tc>
        <w:tc>
          <w:tcPr>
            <w:tcW w:w="567" w:type="dxa"/>
          </w:tcPr>
          <w:p w14:paraId="0B4FEE12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6CEADB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317A7D85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E265E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611448C2" w14:textId="77777777" w:rsidTr="00E85F70">
        <w:tc>
          <w:tcPr>
            <w:tcW w:w="6741" w:type="dxa"/>
            <w:vAlign w:val="center"/>
          </w:tcPr>
          <w:p w14:paraId="1CA01D07" w14:textId="77777777" w:rsidR="00A64F89" w:rsidRPr="006C5684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Parada temporal dels equips sense causa justificada (Entre 10 i 20 minuts)</w:t>
            </w:r>
          </w:p>
        </w:tc>
        <w:tc>
          <w:tcPr>
            <w:tcW w:w="567" w:type="dxa"/>
          </w:tcPr>
          <w:p w14:paraId="4586542F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586338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E33482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1623EE8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16E1CACE" w14:textId="77777777" w:rsidTr="00E85F70">
        <w:tc>
          <w:tcPr>
            <w:tcW w:w="6741" w:type="dxa"/>
            <w:vAlign w:val="center"/>
          </w:tcPr>
          <w:p w14:paraId="62382BB1" w14:textId="77777777" w:rsidR="00A64F89" w:rsidRPr="006C5684" w:rsidRDefault="00A64F89" w:rsidP="00C45E3B">
            <w:pPr>
              <w:pStyle w:val="Textoindependiente3"/>
              <w:spacing w:before="60" w:after="60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Parada temporal dels equips sense causa justificada (Més de 20 minuts)</w:t>
            </w:r>
          </w:p>
        </w:tc>
        <w:tc>
          <w:tcPr>
            <w:tcW w:w="567" w:type="dxa"/>
          </w:tcPr>
          <w:p w14:paraId="1FF110C0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1C5B5B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E9A873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FF6F4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6E2DD10B" w14:textId="77777777" w:rsidTr="00E85F70">
        <w:tc>
          <w:tcPr>
            <w:tcW w:w="6741" w:type="dxa"/>
            <w:vAlign w:val="center"/>
          </w:tcPr>
          <w:p w14:paraId="6F2E0458" w14:textId="77777777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inferior a 20 minuts</w:t>
            </w:r>
          </w:p>
        </w:tc>
        <w:tc>
          <w:tcPr>
            <w:tcW w:w="567" w:type="dxa"/>
          </w:tcPr>
          <w:p w14:paraId="5369970F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4D4F44B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AC8C8E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98FCFA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05C0B462" w14:textId="77777777" w:rsidTr="00E85F70">
        <w:tc>
          <w:tcPr>
            <w:tcW w:w="6741" w:type="dxa"/>
            <w:vAlign w:val="center"/>
          </w:tcPr>
          <w:p w14:paraId="6EB9851C" w14:textId="77777777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superior a 20 minuts</w:t>
            </w:r>
          </w:p>
        </w:tc>
        <w:tc>
          <w:tcPr>
            <w:tcW w:w="567" w:type="dxa"/>
          </w:tcPr>
          <w:p w14:paraId="5E347596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8FE36C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3414573D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63910F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70D5208E" w14:textId="77777777" w:rsidTr="00E85F70">
        <w:tc>
          <w:tcPr>
            <w:tcW w:w="6741" w:type="dxa"/>
            <w:vAlign w:val="center"/>
          </w:tcPr>
          <w:p w14:paraId="4CD4D577" w14:textId="77777777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superior a 60 minuts</w:t>
            </w:r>
          </w:p>
        </w:tc>
        <w:tc>
          <w:tcPr>
            <w:tcW w:w="567" w:type="dxa"/>
          </w:tcPr>
          <w:p w14:paraId="1C0E031C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9A0A95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94E5ED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B4568E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2946A987" w14:textId="77777777" w:rsidTr="00E85F70">
        <w:tc>
          <w:tcPr>
            <w:tcW w:w="6741" w:type="dxa"/>
            <w:vAlign w:val="center"/>
          </w:tcPr>
          <w:p w14:paraId="3B4ED6DB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Retard o avançament injustificat en l’inici de la prestació superior a 90 minuts</w:t>
            </w:r>
          </w:p>
        </w:tc>
        <w:tc>
          <w:tcPr>
            <w:tcW w:w="567" w:type="dxa"/>
          </w:tcPr>
          <w:p w14:paraId="5A955F5B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78110F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332E9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8FFF6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6C5684" w14:paraId="50A6C0D9" w14:textId="77777777" w:rsidTr="00E85F70">
        <w:tc>
          <w:tcPr>
            <w:tcW w:w="6741" w:type="dxa"/>
            <w:vAlign w:val="bottom"/>
          </w:tcPr>
          <w:p w14:paraId="16E26AF9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>: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 xml:space="preserve"> correcte</w:t>
            </w:r>
          </w:p>
        </w:tc>
        <w:tc>
          <w:tcPr>
            <w:tcW w:w="567" w:type="dxa"/>
          </w:tcPr>
          <w:p w14:paraId="072E9E83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2283C914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C5D4AA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7C53C7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108C2108" w14:textId="77777777" w:rsidTr="00E85F70">
        <w:tc>
          <w:tcPr>
            <w:tcW w:w="6741" w:type="dxa"/>
            <w:vAlign w:val="bottom"/>
          </w:tcPr>
          <w:p w14:paraId="28413095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: 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Insuficient (estat funcional correcte, elements d’imatge en mal estat)</w:t>
            </w:r>
          </w:p>
        </w:tc>
        <w:tc>
          <w:tcPr>
            <w:tcW w:w="567" w:type="dxa"/>
          </w:tcPr>
          <w:p w14:paraId="67F17F3F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AB79CA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B6C156B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7E9E5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1C28C18D" w14:textId="77777777" w:rsidTr="00E85F70">
        <w:tc>
          <w:tcPr>
            <w:tcW w:w="6741" w:type="dxa"/>
            <w:vAlign w:val="bottom"/>
          </w:tcPr>
          <w:p w14:paraId="6ADBEBB2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: 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Defectuós (estat funcional en mal estat però l’equip funciona (parts oxidades o abonyegades), elements d’imatge en mal estat)</w:t>
            </w:r>
          </w:p>
        </w:tc>
        <w:tc>
          <w:tcPr>
            <w:tcW w:w="567" w:type="dxa"/>
          </w:tcPr>
          <w:p w14:paraId="11EE09E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FF58C1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FCE2E5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1992B8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23CB2B06" w14:textId="77777777" w:rsidTr="00E85F70">
        <w:tc>
          <w:tcPr>
            <w:tcW w:w="6741" w:type="dxa"/>
            <w:vAlign w:val="bottom"/>
          </w:tcPr>
          <w:p w14:paraId="6296057A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Estat funcional i imatge dels equips</w:t>
            </w:r>
            <w:r>
              <w:rPr>
                <w:rFonts w:ascii="Gilroy Light" w:hAnsi="Gilroy Light" w:cs="Calibri"/>
                <w:sz w:val="18"/>
                <w:szCs w:val="18"/>
              </w:rPr>
              <w:t xml:space="preserve">: 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>Dolent (element no funciona o amb parts que falten i /o trencades, elements d’imatge en mal estat)</w:t>
            </w:r>
          </w:p>
        </w:tc>
        <w:tc>
          <w:tcPr>
            <w:tcW w:w="567" w:type="dxa"/>
          </w:tcPr>
          <w:p w14:paraId="305D0F8F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2AAC8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2A81A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BBC04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25EFB6FC" w14:textId="77777777" w:rsidTr="00E85F70">
        <w:tc>
          <w:tcPr>
            <w:tcW w:w="6741" w:type="dxa"/>
            <w:vAlign w:val="center"/>
          </w:tcPr>
          <w:p w14:paraId="443E3B81" w14:textId="1015247A" w:rsidR="00A64F89" w:rsidRPr="006C5684" w:rsidRDefault="00C617F7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>
              <w:rPr>
                <w:rFonts w:ascii="Gilroy Light" w:hAnsi="Gilroy Light" w:cs="Calibri"/>
                <w:sz w:val="18"/>
                <w:szCs w:val="18"/>
              </w:rPr>
              <w:lastRenderedPageBreak/>
              <w:t xml:space="preserve">Estat uniforme personal: </w:t>
            </w:r>
            <w:r w:rsidR="00A64F89" w:rsidRPr="006C5684">
              <w:rPr>
                <w:rFonts w:ascii="Gilroy Light" w:hAnsi="Gilroy Light" w:cs="Calibri"/>
                <w:sz w:val="18"/>
                <w:szCs w:val="18"/>
              </w:rPr>
              <w:t>No portar l’uniforme net i</w:t>
            </w:r>
            <w:r w:rsidR="002A32F7">
              <w:rPr>
                <w:rFonts w:ascii="Gilroy Light" w:hAnsi="Gilroy Light" w:cs="Calibri"/>
                <w:sz w:val="18"/>
                <w:szCs w:val="18"/>
              </w:rPr>
              <w:t xml:space="preserve"> en bon estat</w:t>
            </w:r>
          </w:p>
        </w:tc>
        <w:tc>
          <w:tcPr>
            <w:tcW w:w="567" w:type="dxa"/>
          </w:tcPr>
          <w:p w14:paraId="227D91CA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4EC8A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737E96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4CC1FE1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3B6F3999" w14:textId="77777777" w:rsidTr="00E85F70">
        <w:trPr>
          <w:cantSplit/>
          <w:trHeight w:val="323"/>
        </w:trPr>
        <w:tc>
          <w:tcPr>
            <w:tcW w:w="6741" w:type="dxa"/>
            <w:vAlign w:val="center"/>
          </w:tcPr>
          <w:p w14:paraId="784B9685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No realitzar treballs programats o encomanats</w:t>
            </w:r>
          </w:p>
        </w:tc>
        <w:tc>
          <w:tcPr>
            <w:tcW w:w="567" w:type="dxa"/>
            <w:textDirection w:val="btLr"/>
          </w:tcPr>
          <w:p w14:paraId="06DA5645" w14:textId="77777777" w:rsidR="00A64F89" w:rsidRPr="00A43A8A" w:rsidRDefault="00A64F89" w:rsidP="00C45E3B">
            <w:pPr>
              <w:spacing w:before="60" w:after="60" w:line="240" w:lineRule="auto"/>
              <w:ind w:left="113" w:right="113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12C428D" w14:textId="77777777" w:rsidR="00A64F89" w:rsidRPr="00A43A8A" w:rsidRDefault="00A64F89" w:rsidP="00C45E3B">
            <w:pPr>
              <w:spacing w:before="60" w:after="60" w:line="240" w:lineRule="auto"/>
              <w:ind w:left="113" w:right="113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01D884" w14:textId="77777777" w:rsidR="00A64F89" w:rsidRPr="00A43A8A" w:rsidRDefault="00A64F89" w:rsidP="00C45E3B">
            <w:pPr>
              <w:spacing w:before="60" w:after="60" w:line="240" w:lineRule="auto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textDirection w:val="btLr"/>
            <w:vAlign w:val="center"/>
          </w:tcPr>
          <w:p w14:paraId="53DC09C2" w14:textId="77777777" w:rsidR="00A64F89" w:rsidRPr="00A43A8A" w:rsidRDefault="00A64F89" w:rsidP="00C45E3B">
            <w:pPr>
              <w:spacing w:before="60" w:after="60" w:line="240" w:lineRule="auto"/>
              <w:ind w:left="113" w:right="113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791778C4" w14:textId="77777777" w:rsidTr="00E85F70">
        <w:tc>
          <w:tcPr>
            <w:tcW w:w="6741" w:type="dxa"/>
            <w:vAlign w:val="center"/>
          </w:tcPr>
          <w:p w14:paraId="350163C5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Efectuar tria o recerca de productes als contenidors o papereres. </w:t>
            </w:r>
          </w:p>
        </w:tc>
        <w:tc>
          <w:tcPr>
            <w:tcW w:w="567" w:type="dxa"/>
          </w:tcPr>
          <w:p w14:paraId="115D5775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F0E3A4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59F6FF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E658E78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5F7F5194" w14:textId="77777777" w:rsidTr="00E85F70">
        <w:tc>
          <w:tcPr>
            <w:tcW w:w="6741" w:type="dxa"/>
            <w:vAlign w:val="center"/>
          </w:tcPr>
          <w:p w14:paraId="1480FBFB" w14:textId="2A199D92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Canviar el torn previst per un equip de servei sense autorització prèvia de </w:t>
            </w:r>
            <w:r w:rsidR="001A64E6">
              <w:rPr>
                <w:rFonts w:ascii="Gilroy Light" w:hAnsi="Gilroy Light" w:cs="Calibri"/>
                <w:sz w:val="18"/>
                <w:szCs w:val="18"/>
              </w:rPr>
              <w:t>Mercabarna</w:t>
            </w:r>
          </w:p>
        </w:tc>
        <w:tc>
          <w:tcPr>
            <w:tcW w:w="567" w:type="dxa"/>
          </w:tcPr>
          <w:p w14:paraId="334F7A91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1DD0D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E26D01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67C741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10206DBD" w14:textId="77777777" w:rsidTr="00E85F70">
        <w:tc>
          <w:tcPr>
            <w:tcW w:w="6741" w:type="dxa"/>
            <w:vAlign w:val="center"/>
          </w:tcPr>
          <w:p w14:paraId="32697AD3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Velocitats de neteja superiors a les previstes amb resultat negatiu</w:t>
            </w:r>
          </w:p>
        </w:tc>
        <w:tc>
          <w:tcPr>
            <w:tcW w:w="567" w:type="dxa"/>
          </w:tcPr>
          <w:p w14:paraId="1399C54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30DE8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D49B75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55CB1DE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533F6FDE" w14:textId="77777777" w:rsidTr="00E85F70">
        <w:tc>
          <w:tcPr>
            <w:tcW w:w="6741" w:type="dxa"/>
            <w:vAlign w:val="center"/>
          </w:tcPr>
          <w:p w14:paraId="471EA834" w14:textId="62DA8355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No recollida d’una pila de residus escombrada, </w:t>
            </w:r>
            <w:r w:rsidR="003B7629">
              <w:rPr>
                <w:rFonts w:ascii="Gilroy Light" w:hAnsi="Gilroy Light" w:cs="Calibri"/>
                <w:sz w:val="18"/>
                <w:szCs w:val="18"/>
              </w:rPr>
              <w:t xml:space="preserve">o provinent del </w:t>
            </w: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baldeig o qualsevol servei de neteja viària. </w:t>
            </w:r>
          </w:p>
        </w:tc>
        <w:tc>
          <w:tcPr>
            <w:tcW w:w="567" w:type="dxa"/>
          </w:tcPr>
          <w:p w14:paraId="7E27A3B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C1632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0497F9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46DAA9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2330F3C0" w14:textId="77777777" w:rsidTr="00E85F70">
        <w:tc>
          <w:tcPr>
            <w:tcW w:w="6741" w:type="dxa"/>
            <w:vAlign w:val="center"/>
          </w:tcPr>
          <w:p w14:paraId="43B38CC3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No buidat d’una paperera. </w:t>
            </w:r>
          </w:p>
        </w:tc>
        <w:tc>
          <w:tcPr>
            <w:tcW w:w="567" w:type="dxa"/>
          </w:tcPr>
          <w:p w14:paraId="5A2BEB02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E38138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E124D9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B4F7B11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1FC8110F" w14:textId="77777777" w:rsidTr="00E85F70">
        <w:tc>
          <w:tcPr>
            <w:tcW w:w="6741" w:type="dxa"/>
            <w:shd w:val="clear" w:color="auto" w:fill="auto"/>
            <w:vAlign w:val="center"/>
          </w:tcPr>
          <w:p w14:paraId="2803C58C" w14:textId="77777777" w:rsidR="00A64F89" w:rsidRPr="005D3982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5D3982">
              <w:rPr>
                <w:rFonts w:ascii="Gilroy Light" w:hAnsi="Gilroy Light" w:cs="Calibri"/>
                <w:sz w:val="18"/>
                <w:szCs w:val="18"/>
              </w:rPr>
              <w:t>Paperera sense bossa</w:t>
            </w:r>
          </w:p>
        </w:tc>
        <w:tc>
          <w:tcPr>
            <w:tcW w:w="567" w:type="dxa"/>
          </w:tcPr>
          <w:p w14:paraId="33BE599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7EAAA7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658B22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8974F4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2A32F7" w:rsidRPr="00A43A8A" w14:paraId="6B253D2F" w14:textId="77777777" w:rsidTr="00986E17">
        <w:tc>
          <w:tcPr>
            <w:tcW w:w="6741" w:type="dxa"/>
            <w:vAlign w:val="center"/>
          </w:tcPr>
          <w:p w14:paraId="44AE970A" w14:textId="77777777" w:rsidR="002A32F7" w:rsidRPr="006C5684" w:rsidRDefault="002A32F7" w:rsidP="00986E17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No netejar l’exterior de les papereres </w:t>
            </w:r>
          </w:p>
        </w:tc>
        <w:tc>
          <w:tcPr>
            <w:tcW w:w="567" w:type="dxa"/>
          </w:tcPr>
          <w:p w14:paraId="78E52256" w14:textId="77777777" w:rsidR="002A32F7" w:rsidRPr="00A43A8A" w:rsidRDefault="002A32F7" w:rsidP="00986E17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6336EE" w14:textId="77777777" w:rsidR="002A32F7" w:rsidRPr="00A43A8A" w:rsidRDefault="002A32F7" w:rsidP="00986E17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3EFB56" w14:textId="77777777" w:rsidR="002A32F7" w:rsidRPr="00A43A8A" w:rsidRDefault="002A32F7" w:rsidP="00986E17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3CF8E6" w14:textId="77777777" w:rsidR="002A32F7" w:rsidRPr="00A43A8A" w:rsidRDefault="002A32F7" w:rsidP="00986E17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2A32F7" w:rsidRPr="00A43A8A" w14:paraId="71C2CD88" w14:textId="77777777" w:rsidTr="00E85F70">
        <w:tc>
          <w:tcPr>
            <w:tcW w:w="6741" w:type="dxa"/>
            <w:shd w:val="clear" w:color="auto" w:fill="auto"/>
            <w:vAlign w:val="center"/>
          </w:tcPr>
          <w:p w14:paraId="3F86707D" w14:textId="1F919377" w:rsidR="002A32F7" w:rsidRPr="005D3982" w:rsidRDefault="002A32F7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>
              <w:rPr>
                <w:rFonts w:ascii="Gilroy Light" w:hAnsi="Gilroy Light" w:cs="Calibri"/>
                <w:sz w:val="18"/>
                <w:szCs w:val="18"/>
              </w:rPr>
              <w:t>No netejar un banc o altres elements de la via pública</w:t>
            </w:r>
          </w:p>
        </w:tc>
        <w:tc>
          <w:tcPr>
            <w:tcW w:w="567" w:type="dxa"/>
          </w:tcPr>
          <w:p w14:paraId="239653CA" w14:textId="77777777" w:rsidR="002A32F7" w:rsidRPr="00A43A8A" w:rsidRDefault="002A32F7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1920D5" w14:textId="77777777" w:rsidR="002A32F7" w:rsidRPr="00A43A8A" w:rsidRDefault="002A32F7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0D6AEA" w14:textId="720E314F" w:rsidR="002A32F7" w:rsidRDefault="002A32F7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1CB5D31" w14:textId="77777777" w:rsidR="002A32F7" w:rsidRPr="00A43A8A" w:rsidRDefault="002A32F7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5C800F8E" w14:textId="77777777" w:rsidTr="00E85F70">
        <w:tc>
          <w:tcPr>
            <w:tcW w:w="6741" w:type="dxa"/>
            <w:shd w:val="clear" w:color="auto" w:fill="auto"/>
            <w:vAlign w:val="center"/>
          </w:tcPr>
          <w:p w14:paraId="594338E0" w14:textId="2586A181" w:rsidR="00A64F89" w:rsidRPr="005D3982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5D3982">
              <w:rPr>
                <w:rFonts w:ascii="Gilroy Light" w:hAnsi="Gilroy Light" w:cs="Calibri"/>
                <w:sz w:val="18"/>
                <w:szCs w:val="18"/>
              </w:rPr>
              <w:t>No netejar una àrea d’aportació</w:t>
            </w:r>
          </w:p>
        </w:tc>
        <w:tc>
          <w:tcPr>
            <w:tcW w:w="567" w:type="dxa"/>
          </w:tcPr>
          <w:p w14:paraId="02E9CDB5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85548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C0956C1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51F71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205A9DA6" w14:textId="77777777" w:rsidTr="00E85F70">
        <w:tc>
          <w:tcPr>
            <w:tcW w:w="6741" w:type="dxa"/>
            <w:shd w:val="clear" w:color="auto" w:fill="auto"/>
            <w:vAlign w:val="center"/>
          </w:tcPr>
          <w:p w14:paraId="37E1A642" w14:textId="10CF139F" w:rsidR="00A64F89" w:rsidRPr="005D3982" w:rsidRDefault="005D3982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4867CC">
              <w:rPr>
                <w:rFonts w:ascii="Gilroy Light" w:hAnsi="Gilroy Light" w:cs="Calibri"/>
                <w:sz w:val="18"/>
                <w:szCs w:val="18"/>
              </w:rPr>
              <w:t>No recolli</w:t>
            </w:r>
            <w:r>
              <w:rPr>
                <w:rFonts w:ascii="Gilroy Light" w:hAnsi="Gilroy Light" w:cs="Calibri"/>
                <w:sz w:val="18"/>
                <w:szCs w:val="18"/>
              </w:rPr>
              <w:t>r</w:t>
            </w:r>
            <w:r w:rsidRPr="004867CC">
              <w:rPr>
                <w:rFonts w:ascii="Gilroy Light" w:hAnsi="Gilroy Light" w:cs="Calibri"/>
                <w:sz w:val="18"/>
                <w:szCs w:val="18"/>
              </w:rPr>
              <w:t xml:space="preserve"> el </w:t>
            </w:r>
            <w:r w:rsidRPr="005D3982">
              <w:rPr>
                <w:rFonts w:ascii="Gilroy Light" w:hAnsi="Gilroy Light" w:cs="Calibri"/>
                <w:sz w:val="18"/>
                <w:szCs w:val="18"/>
              </w:rPr>
              <w:t>residu fora dels contenidors de recollida selectiva, i no introduir cada residu en el contenidor apropiat</w:t>
            </w:r>
          </w:p>
        </w:tc>
        <w:tc>
          <w:tcPr>
            <w:tcW w:w="567" w:type="dxa"/>
          </w:tcPr>
          <w:p w14:paraId="66B40C7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50017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53D9F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7DE9082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31C18EC9" w14:textId="77777777" w:rsidTr="00E85F70">
        <w:trPr>
          <w:trHeight w:val="277"/>
        </w:trPr>
        <w:tc>
          <w:tcPr>
            <w:tcW w:w="6741" w:type="dxa"/>
            <w:vAlign w:val="center"/>
          </w:tcPr>
          <w:p w14:paraId="4F5EBBA6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No recollir excrements d’animals</w:t>
            </w:r>
          </w:p>
        </w:tc>
        <w:tc>
          <w:tcPr>
            <w:tcW w:w="567" w:type="dxa"/>
          </w:tcPr>
          <w:p w14:paraId="0051C10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67B8DB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2B9F0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817064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07656449" w14:textId="77777777" w:rsidTr="00E85F70">
        <w:trPr>
          <w:cantSplit/>
          <w:trHeight w:val="267"/>
        </w:trPr>
        <w:tc>
          <w:tcPr>
            <w:tcW w:w="6741" w:type="dxa"/>
            <w:vAlign w:val="center"/>
          </w:tcPr>
          <w:p w14:paraId="698F826B" w14:textId="65018C7C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Impulsar restes de residus sota els vehicles estacionats</w:t>
            </w:r>
          </w:p>
        </w:tc>
        <w:tc>
          <w:tcPr>
            <w:tcW w:w="567" w:type="dxa"/>
            <w:textDirection w:val="btLr"/>
          </w:tcPr>
          <w:p w14:paraId="418B3510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47F79C3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96EE43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36CD0E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caps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caps/>
                <w:sz w:val="20"/>
                <w:szCs w:val="20"/>
              </w:rPr>
              <w:t>x</w:t>
            </w:r>
          </w:p>
        </w:tc>
      </w:tr>
      <w:tr w:rsidR="00A64F89" w:rsidRPr="00A43A8A" w14:paraId="304A7282" w14:textId="77777777" w:rsidTr="00E85F70">
        <w:tc>
          <w:tcPr>
            <w:tcW w:w="6741" w:type="dxa"/>
            <w:vAlign w:val="center"/>
          </w:tcPr>
          <w:p w14:paraId="57C501F6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Esquitxar objectes o persones intencionadament en el reg a pressió</w:t>
            </w:r>
          </w:p>
        </w:tc>
        <w:tc>
          <w:tcPr>
            <w:tcW w:w="567" w:type="dxa"/>
          </w:tcPr>
          <w:p w14:paraId="3BE9121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688A8B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97F68E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DA4308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5672E803" w14:textId="77777777" w:rsidTr="00E85F70">
        <w:tc>
          <w:tcPr>
            <w:tcW w:w="6741" w:type="dxa"/>
            <w:vAlign w:val="center"/>
          </w:tcPr>
          <w:p w14:paraId="3317BA0C" w14:textId="77777777" w:rsidR="00A64F89" w:rsidRPr="006C5684" w:rsidRDefault="00A64F89" w:rsidP="00C45E3B">
            <w:pPr>
              <w:pStyle w:val="Textoindependiente3"/>
              <w:spacing w:before="60" w:after="60"/>
              <w:jc w:val="left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No neteja d’un escocell o de la tapa si està tapat</w:t>
            </w:r>
          </w:p>
        </w:tc>
        <w:tc>
          <w:tcPr>
            <w:tcW w:w="567" w:type="dxa"/>
          </w:tcPr>
          <w:p w14:paraId="30492984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CA678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F34159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B1EC4DC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</w:tr>
      <w:tr w:rsidR="00A64F89" w:rsidRPr="00A43A8A" w14:paraId="14DE0AF9" w14:textId="77777777" w:rsidTr="00E85F70">
        <w:tc>
          <w:tcPr>
            <w:tcW w:w="6741" w:type="dxa"/>
            <w:vAlign w:val="center"/>
          </w:tcPr>
          <w:p w14:paraId="113BAEDB" w14:textId="77777777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Actituds no respectuoses envers la ciutadania</w:t>
            </w:r>
          </w:p>
        </w:tc>
        <w:tc>
          <w:tcPr>
            <w:tcW w:w="567" w:type="dxa"/>
          </w:tcPr>
          <w:p w14:paraId="39AFD363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4D4FEA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FF7A69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07BCAE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14C88B87" w14:textId="77777777" w:rsidTr="00E85F70">
        <w:tc>
          <w:tcPr>
            <w:tcW w:w="6741" w:type="dxa"/>
            <w:vAlign w:val="center"/>
          </w:tcPr>
          <w:p w14:paraId="2557A8EF" w14:textId="73FAF9A3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Abocar residus d’escombrada a</w:t>
            </w:r>
            <w:r w:rsidR="00DC23B7">
              <w:rPr>
                <w:rFonts w:ascii="Gilroy Light" w:hAnsi="Gilroy Light" w:cs="Calibri"/>
                <w:sz w:val="18"/>
                <w:szCs w:val="18"/>
              </w:rPr>
              <w:t xml:space="preserve"> un</w:t>
            </w: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 lloc no previst.</w:t>
            </w:r>
          </w:p>
        </w:tc>
        <w:tc>
          <w:tcPr>
            <w:tcW w:w="567" w:type="dxa"/>
          </w:tcPr>
          <w:p w14:paraId="2EF88E53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78D428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6FB962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279695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087DAC84" w14:textId="77777777" w:rsidTr="00E85F70">
        <w:tc>
          <w:tcPr>
            <w:tcW w:w="6741" w:type="dxa"/>
            <w:vAlign w:val="center"/>
          </w:tcPr>
          <w:p w14:paraId="3D40A540" w14:textId="3E0448CB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La càrrega d’aigua </w:t>
            </w:r>
            <w:r w:rsidR="00C617F7">
              <w:rPr>
                <w:rFonts w:ascii="Gilroy Light" w:hAnsi="Gilroy Light" w:cs="Calibri"/>
                <w:sz w:val="18"/>
                <w:szCs w:val="18"/>
              </w:rPr>
              <w:t>d'</w:t>
            </w:r>
            <w:r w:rsidR="00C617F7" w:rsidRPr="006C5684">
              <w:rPr>
                <w:rFonts w:ascii="Gilroy Light" w:hAnsi="Gilroy Light" w:cs="Calibri"/>
                <w:sz w:val="18"/>
                <w:szCs w:val="18"/>
              </w:rPr>
              <w:t>escombrad</w:t>
            </w:r>
            <w:r w:rsidR="00C617F7">
              <w:rPr>
                <w:rFonts w:ascii="Gilroy Light" w:hAnsi="Gilroy Light" w:cs="Calibri"/>
                <w:sz w:val="18"/>
                <w:szCs w:val="18"/>
              </w:rPr>
              <w:t>ores</w:t>
            </w:r>
            <w:r w:rsidR="00C617F7" w:rsidRPr="006C5684">
              <w:rPr>
                <w:rFonts w:ascii="Gilroy Light" w:hAnsi="Gilroy Light" w:cs="Calibri"/>
                <w:sz w:val="18"/>
                <w:szCs w:val="18"/>
              </w:rPr>
              <w:t xml:space="preserve"> o </w:t>
            </w:r>
            <w:r w:rsidR="00C617F7">
              <w:rPr>
                <w:rFonts w:ascii="Gilroy Light" w:hAnsi="Gilroy Light" w:cs="Calibri"/>
                <w:sz w:val="18"/>
                <w:szCs w:val="18"/>
              </w:rPr>
              <w:t xml:space="preserve">altres </w:t>
            </w: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vehicles </w:t>
            </w:r>
            <w:r w:rsidR="00C617F7">
              <w:rPr>
                <w:rFonts w:ascii="Gilroy Light" w:hAnsi="Gilroy Light" w:cs="Calibri"/>
                <w:sz w:val="18"/>
                <w:szCs w:val="18"/>
              </w:rPr>
              <w:t>amb aigua</w:t>
            </w:r>
            <w:r w:rsidRPr="006C5684">
              <w:rPr>
                <w:rFonts w:ascii="Gilroy Light" w:hAnsi="Gilroy Light" w:cs="Calibri"/>
                <w:sz w:val="18"/>
                <w:szCs w:val="18"/>
              </w:rPr>
              <w:t xml:space="preserve"> en punts no autoritzats </w:t>
            </w:r>
          </w:p>
        </w:tc>
        <w:tc>
          <w:tcPr>
            <w:tcW w:w="567" w:type="dxa"/>
          </w:tcPr>
          <w:p w14:paraId="7410544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7EF5D3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A97033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42387B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  <w:tr w:rsidR="00A64F89" w:rsidRPr="00A43A8A" w14:paraId="7580F0F3" w14:textId="77777777" w:rsidTr="00E85F70"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1BC" w14:textId="77777777" w:rsidR="00A64F89" w:rsidRPr="006C5684" w:rsidRDefault="00A64F89" w:rsidP="00C45E3B">
            <w:pPr>
              <w:spacing w:before="60" w:after="60" w:line="240" w:lineRule="auto"/>
              <w:rPr>
                <w:rFonts w:ascii="Gilroy Light" w:hAnsi="Gilroy Light" w:cs="Calibri"/>
                <w:sz w:val="18"/>
                <w:szCs w:val="18"/>
              </w:rPr>
            </w:pPr>
            <w:r w:rsidRPr="006C5684">
              <w:rPr>
                <w:rFonts w:ascii="Gilroy Light" w:hAnsi="Gilroy Light" w:cs="Calibri"/>
                <w:sz w:val="18"/>
                <w:szCs w:val="18"/>
              </w:rPr>
              <w:t>Altres incompliments (en funció del incompliment)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277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88D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157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A175" w14:textId="77777777" w:rsidR="00A64F89" w:rsidRPr="00A43A8A" w:rsidRDefault="00A64F89" w:rsidP="00C45E3B">
            <w:pPr>
              <w:pStyle w:val="Textoindependiente3"/>
              <w:spacing w:before="60" w:after="60"/>
              <w:jc w:val="center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X</w:t>
            </w:r>
          </w:p>
        </w:tc>
      </w:tr>
    </w:tbl>
    <w:p w14:paraId="2ED5BB92" w14:textId="77777777" w:rsidR="001A64E6" w:rsidRDefault="001A64E6" w:rsidP="00605DC4">
      <w:pPr>
        <w:pStyle w:val="Normal11"/>
        <w:spacing w:after="120"/>
        <w:rPr>
          <w:rFonts w:ascii="Gilroy Medium" w:eastAsia="Times" w:hAnsi="Gilroy Medium" w:cstheme="majorHAnsi"/>
          <w:sz w:val="20"/>
          <w:szCs w:val="20"/>
          <w:lang w:eastAsia="es-ES"/>
        </w:rPr>
      </w:pPr>
    </w:p>
    <w:p w14:paraId="159053C1" w14:textId="72BBEF3C" w:rsidR="00605DC4" w:rsidRPr="00605DC4" w:rsidRDefault="00605DC4" w:rsidP="00605DC4">
      <w:pPr>
        <w:pStyle w:val="Normal11"/>
        <w:spacing w:after="120"/>
        <w:rPr>
          <w:rFonts w:ascii="Gilroy Medium" w:eastAsia="Times" w:hAnsi="Gilroy Medium" w:cstheme="majorHAnsi"/>
          <w:sz w:val="20"/>
          <w:szCs w:val="20"/>
          <w:lang w:eastAsia="es-ES"/>
        </w:rPr>
      </w:pPr>
      <w:r w:rsidRPr="00605DC4">
        <w:rPr>
          <w:rFonts w:ascii="Gilroy Medium" w:eastAsia="Times" w:hAnsi="Gilroy Medium" w:cstheme="majorHAnsi"/>
          <w:sz w:val="20"/>
          <w:szCs w:val="20"/>
          <w:lang w:eastAsia="es-ES"/>
        </w:rPr>
        <w:t>1.3 DEDUCCIONS</w:t>
      </w:r>
    </w:p>
    <w:p w14:paraId="4E036D85" w14:textId="77777777" w:rsidR="00605DC4" w:rsidRPr="00A43A8A" w:rsidRDefault="00605DC4" w:rsidP="00605DC4">
      <w:p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A43A8A">
        <w:rPr>
          <w:rFonts w:ascii="Gilroy Light" w:hAnsi="Gilroy Light" w:cs="Avenir Book"/>
          <w:sz w:val="20"/>
          <w:szCs w:val="20"/>
        </w:rPr>
        <w:t>Les qualificacions Molt Satisfactori i Satisfactori no comportaran cap tipus de deducció en la contraprestació, i la resta de qualificacions portaran inclosa una deducció en el preu unitari del servei inspeccionat:</w:t>
      </w:r>
    </w:p>
    <w:p w14:paraId="748D75E8" w14:textId="77777777" w:rsidR="00605DC4" w:rsidRPr="00A43A8A" w:rsidRDefault="00605DC4" w:rsidP="00605DC4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A43A8A">
        <w:rPr>
          <w:rFonts w:ascii="Gilroy Light" w:hAnsi="Gilroy Light" w:cs="Avenir Book"/>
          <w:sz w:val="20"/>
          <w:szCs w:val="20"/>
        </w:rPr>
        <w:t>No Satisfactori:</w:t>
      </w:r>
      <w:r>
        <w:rPr>
          <w:rFonts w:ascii="Gilroy Light" w:hAnsi="Gilroy Light" w:cs="Avenir Book"/>
          <w:sz w:val="20"/>
          <w:szCs w:val="20"/>
        </w:rPr>
        <w:t xml:space="preserve"> </w:t>
      </w:r>
      <w:r w:rsidRPr="00A43A8A">
        <w:rPr>
          <w:rFonts w:ascii="Gilroy Light" w:hAnsi="Gilroy Light" w:cs="Avenir Book"/>
          <w:sz w:val="20"/>
          <w:szCs w:val="20"/>
        </w:rPr>
        <w:t>Deducció del 30% Preu Unitari Servei.</w:t>
      </w:r>
    </w:p>
    <w:p w14:paraId="71F14961" w14:textId="77777777" w:rsidR="00605DC4" w:rsidRDefault="00605DC4" w:rsidP="00605DC4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A43A8A">
        <w:rPr>
          <w:rFonts w:ascii="Gilroy Light" w:hAnsi="Gilroy Light" w:cs="Avenir Book"/>
          <w:sz w:val="20"/>
          <w:szCs w:val="20"/>
        </w:rPr>
        <w:t>Gens Satisfactori:</w:t>
      </w:r>
      <w:r>
        <w:rPr>
          <w:rFonts w:ascii="Gilroy Light" w:hAnsi="Gilroy Light" w:cs="Avenir Book"/>
          <w:sz w:val="20"/>
          <w:szCs w:val="20"/>
        </w:rPr>
        <w:t xml:space="preserve"> </w:t>
      </w:r>
      <w:r w:rsidRPr="00A43A8A">
        <w:rPr>
          <w:rFonts w:ascii="Gilroy Light" w:hAnsi="Gilroy Light" w:cs="Avenir Book"/>
          <w:sz w:val="20"/>
          <w:szCs w:val="20"/>
        </w:rPr>
        <w:t>Deducció del 60% Preu Unitari Servei.</w:t>
      </w:r>
    </w:p>
    <w:p w14:paraId="5098F111" w14:textId="77777777" w:rsidR="00605DC4" w:rsidRDefault="00605DC4" w:rsidP="00605DC4">
      <w:p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Per definir el resultat del control del compliment de les normes d'un servei i la deducció corresponent es llistaran tots els resultats dels aspectes inspeccionats relacionats amb aquest servei:</w:t>
      </w:r>
    </w:p>
    <w:p w14:paraId="1665097F" w14:textId="77777777" w:rsidR="00605DC4" w:rsidRDefault="00605DC4" w:rsidP="00605DC4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 xml:space="preserve">En cas que el control del servei doni com a resultat un aspecte No Satisfactori i un aspecte Gens Satisfactori </w:t>
      </w:r>
      <w:r w:rsidRPr="0030132B">
        <w:rPr>
          <w:rFonts w:ascii="Gilroy Light" w:hAnsi="Gilroy Light" w:cs="Avenir Book"/>
          <w:sz w:val="20"/>
          <w:szCs w:val="20"/>
        </w:rPr>
        <w:t xml:space="preserve">el resultat del servei </w:t>
      </w:r>
      <w:r>
        <w:rPr>
          <w:rFonts w:ascii="Gilroy Light" w:hAnsi="Gilroy Light" w:cs="Avenir Book"/>
          <w:sz w:val="20"/>
          <w:szCs w:val="20"/>
        </w:rPr>
        <w:t>serà No</w:t>
      </w:r>
      <w:r w:rsidRPr="0030132B">
        <w:rPr>
          <w:rFonts w:ascii="Gilroy Light" w:hAnsi="Gilroy Light" w:cs="Avenir Book"/>
          <w:sz w:val="20"/>
          <w:szCs w:val="20"/>
        </w:rPr>
        <w:t xml:space="preserve"> Satisfactori</w:t>
      </w:r>
      <w:r>
        <w:rPr>
          <w:rFonts w:ascii="Gilroy Light" w:hAnsi="Gilroy Light" w:cs="Avenir Book"/>
          <w:sz w:val="20"/>
          <w:szCs w:val="20"/>
        </w:rPr>
        <w:t xml:space="preserve"> i se li </w:t>
      </w:r>
      <w:r>
        <w:rPr>
          <w:rFonts w:ascii="Gilroy Light" w:hAnsi="Gilroy Light" w:cs="Avenir Book"/>
          <w:sz w:val="20"/>
          <w:szCs w:val="20"/>
        </w:rPr>
        <w:lastRenderedPageBreak/>
        <w:t>aplicarà la deducció corresponent al preu unitari del servei</w:t>
      </w:r>
      <w:r w:rsidRPr="0030132B">
        <w:rPr>
          <w:rFonts w:ascii="Gilroy Light" w:hAnsi="Gilroy Light" w:cs="Avenir Book"/>
          <w:sz w:val="20"/>
          <w:szCs w:val="20"/>
        </w:rPr>
        <w:t>, independentment del resultat de la resta d’aspectes.</w:t>
      </w:r>
    </w:p>
    <w:p w14:paraId="3D2A0B54" w14:textId="77777777" w:rsidR="00605DC4" w:rsidRDefault="00605DC4" w:rsidP="00605DC4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En cas que més d'un aspecte sigui</w:t>
      </w:r>
      <w:r w:rsidRPr="0030132B">
        <w:rPr>
          <w:rFonts w:ascii="Gilroy Light" w:hAnsi="Gilroy Light" w:cs="Avenir Book"/>
          <w:sz w:val="20"/>
          <w:szCs w:val="20"/>
        </w:rPr>
        <w:t xml:space="preserve"> </w:t>
      </w:r>
      <w:r>
        <w:rPr>
          <w:rFonts w:ascii="Gilroy Light" w:hAnsi="Gilroy Light" w:cs="Avenir Book"/>
          <w:sz w:val="20"/>
          <w:szCs w:val="20"/>
        </w:rPr>
        <w:t>No</w:t>
      </w:r>
      <w:r w:rsidRPr="0030132B">
        <w:rPr>
          <w:rFonts w:ascii="Gilroy Light" w:hAnsi="Gilroy Light" w:cs="Avenir Book"/>
          <w:sz w:val="20"/>
          <w:szCs w:val="20"/>
        </w:rPr>
        <w:t xml:space="preserve"> Satisfactori, el resultat del servei </w:t>
      </w:r>
      <w:r>
        <w:rPr>
          <w:rFonts w:ascii="Gilroy Light" w:hAnsi="Gilroy Light" w:cs="Avenir Book"/>
          <w:sz w:val="20"/>
          <w:szCs w:val="20"/>
        </w:rPr>
        <w:t>serà No</w:t>
      </w:r>
      <w:r w:rsidRPr="0030132B">
        <w:rPr>
          <w:rFonts w:ascii="Gilroy Light" w:hAnsi="Gilroy Light" w:cs="Avenir Book"/>
          <w:sz w:val="20"/>
          <w:szCs w:val="20"/>
        </w:rPr>
        <w:t xml:space="preserve"> Satisfactori</w:t>
      </w:r>
      <w:r>
        <w:rPr>
          <w:rFonts w:ascii="Gilroy Light" w:hAnsi="Gilroy Light" w:cs="Avenir Book"/>
          <w:sz w:val="20"/>
          <w:szCs w:val="20"/>
        </w:rPr>
        <w:t xml:space="preserve"> i se li aplicarà la deducció corresponent al preu unitari del servei</w:t>
      </w:r>
      <w:r w:rsidRPr="0030132B">
        <w:rPr>
          <w:rFonts w:ascii="Gilroy Light" w:hAnsi="Gilroy Light" w:cs="Avenir Book"/>
          <w:sz w:val="20"/>
          <w:szCs w:val="20"/>
        </w:rPr>
        <w:t>, independentment del resultat de la resta d’aspectes.</w:t>
      </w:r>
    </w:p>
    <w:p w14:paraId="11016637" w14:textId="77777777" w:rsidR="00605DC4" w:rsidRPr="0030132B" w:rsidRDefault="00605DC4" w:rsidP="00605DC4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En cas que més d'un aspecte sigui</w:t>
      </w:r>
      <w:r w:rsidRPr="0030132B">
        <w:rPr>
          <w:rFonts w:ascii="Gilroy Light" w:hAnsi="Gilroy Light" w:cs="Avenir Book"/>
          <w:sz w:val="20"/>
          <w:szCs w:val="20"/>
        </w:rPr>
        <w:t xml:space="preserve"> Gens Satisfactori, el resultat del servei </w:t>
      </w:r>
      <w:r>
        <w:rPr>
          <w:rFonts w:ascii="Gilroy Light" w:hAnsi="Gilroy Light" w:cs="Avenir Book"/>
          <w:sz w:val="20"/>
          <w:szCs w:val="20"/>
        </w:rPr>
        <w:t xml:space="preserve">serà </w:t>
      </w:r>
      <w:r w:rsidRPr="0030132B">
        <w:rPr>
          <w:rFonts w:ascii="Gilroy Light" w:hAnsi="Gilroy Light" w:cs="Avenir Book"/>
          <w:sz w:val="20"/>
          <w:szCs w:val="20"/>
        </w:rPr>
        <w:t>Gens Satisfactori</w:t>
      </w:r>
      <w:r>
        <w:rPr>
          <w:rFonts w:ascii="Gilroy Light" w:hAnsi="Gilroy Light" w:cs="Avenir Book"/>
          <w:sz w:val="20"/>
          <w:szCs w:val="20"/>
        </w:rPr>
        <w:t xml:space="preserve"> i se li aplicarà la deducció corresponent al preu unitari del servei</w:t>
      </w:r>
      <w:r w:rsidRPr="0030132B">
        <w:rPr>
          <w:rFonts w:ascii="Gilroy Light" w:hAnsi="Gilroy Light" w:cs="Avenir Book"/>
          <w:sz w:val="20"/>
          <w:szCs w:val="20"/>
        </w:rPr>
        <w:t>, independentment del resultat de la resta d’aspectes.</w:t>
      </w:r>
    </w:p>
    <w:p w14:paraId="7DBB1781" w14:textId="4ECDFA95" w:rsidR="00605DC4" w:rsidRDefault="00605DC4" w:rsidP="00605DC4">
      <w:p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 xml:space="preserve">Tot i això, si el motiu pel qual la inspecció d'algun dels aspectes del servei dona un resultat No Satisfactori o Gens Satisfactori ha </w:t>
      </w:r>
      <w:r w:rsidRPr="0030132B">
        <w:rPr>
          <w:rFonts w:ascii="Gilroy Light" w:hAnsi="Gilroy Light" w:cs="Avenir Book"/>
          <w:sz w:val="20"/>
          <w:szCs w:val="20"/>
        </w:rPr>
        <w:t xml:space="preserve">estat </w:t>
      </w:r>
      <w:r>
        <w:rPr>
          <w:rFonts w:ascii="Gilroy Light" w:hAnsi="Gilroy Light" w:cs="Avenir Book"/>
          <w:sz w:val="20"/>
          <w:szCs w:val="20"/>
        </w:rPr>
        <w:t>notificat</w:t>
      </w:r>
      <w:r w:rsidRPr="0030132B">
        <w:rPr>
          <w:rFonts w:ascii="Gilroy Light" w:hAnsi="Gilroy Light" w:cs="Avenir Book"/>
          <w:sz w:val="20"/>
          <w:szCs w:val="20"/>
        </w:rPr>
        <w:t xml:space="preserve"> prèviament </w:t>
      </w:r>
      <w:r w:rsidR="001A64E6">
        <w:rPr>
          <w:rFonts w:ascii="Gilroy Light" w:hAnsi="Gilroy Light" w:cs="Avenir Book"/>
          <w:sz w:val="20"/>
          <w:szCs w:val="20"/>
        </w:rPr>
        <w:t>a Mercabarna</w:t>
      </w:r>
      <w:r w:rsidRPr="0030132B">
        <w:rPr>
          <w:rFonts w:ascii="Gilroy Light" w:hAnsi="Gilroy Light" w:cs="Avenir Book"/>
          <w:sz w:val="20"/>
          <w:szCs w:val="20"/>
        </w:rPr>
        <w:t xml:space="preserve"> i aquests ho han verificat</w:t>
      </w:r>
      <w:r>
        <w:rPr>
          <w:rFonts w:ascii="Gilroy Light" w:hAnsi="Gilroy Light" w:cs="Avenir Book"/>
          <w:sz w:val="20"/>
          <w:szCs w:val="20"/>
        </w:rPr>
        <w:t>, no s'aplicarà la deducció corresponent.</w:t>
      </w:r>
    </w:p>
    <w:p w14:paraId="232EE72D" w14:textId="783B34B4" w:rsidR="00605DC4" w:rsidRDefault="00605DC4" w:rsidP="00605DC4">
      <w:p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 xml:space="preserve">A més a més, </w:t>
      </w:r>
      <w:r w:rsidRPr="00605DC4">
        <w:rPr>
          <w:rFonts w:ascii="Gilroy Light" w:hAnsi="Gilroy Light" w:cs="Avenir Book"/>
          <w:sz w:val="20"/>
          <w:szCs w:val="20"/>
        </w:rPr>
        <w:t>posterior</w:t>
      </w:r>
      <w:r>
        <w:rPr>
          <w:rFonts w:ascii="Gilroy Light" w:hAnsi="Gilroy Light" w:cs="Avenir Book"/>
          <w:sz w:val="20"/>
          <w:szCs w:val="20"/>
        </w:rPr>
        <w:t>ment</w:t>
      </w:r>
      <w:r w:rsidRPr="00605DC4">
        <w:rPr>
          <w:rFonts w:ascii="Gilroy Light" w:hAnsi="Gilroy Light" w:cs="Avenir Book"/>
          <w:sz w:val="20"/>
          <w:szCs w:val="20"/>
        </w:rPr>
        <w:t xml:space="preserve"> al control</w:t>
      </w:r>
      <w:r>
        <w:rPr>
          <w:rFonts w:ascii="Gilroy Light" w:hAnsi="Gilroy Light" w:cs="Avenir Book"/>
          <w:sz w:val="20"/>
          <w:szCs w:val="20"/>
        </w:rPr>
        <w:t>,</w:t>
      </w:r>
      <w:r w:rsidRPr="00605DC4">
        <w:rPr>
          <w:rFonts w:ascii="Gilroy Light" w:hAnsi="Gilroy Light" w:cs="Avenir Book"/>
          <w:sz w:val="20"/>
          <w:szCs w:val="20"/>
        </w:rPr>
        <w:t xml:space="preserve"> es preveurà un termini </w:t>
      </w:r>
      <w:r w:rsidR="005D3982">
        <w:rPr>
          <w:rFonts w:ascii="Gilroy Light" w:hAnsi="Gilroy Light" w:cs="Avenir Book"/>
          <w:sz w:val="20"/>
          <w:szCs w:val="20"/>
        </w:rPr>
        <w:t>en el qual</w:t>
      </w:r>
      <w:r w:rsidRPr="00605DC4">
        <w:rPr>
          <w:rFonts w:ascii="Gilroy Light" w:hAnsi="Gilroy Light" w:cs="Avenir Book"/>
          <w:sz w:val="20"/>
          <w:szCs w:val="20"/>
        </w:rPr>
        <w:t xml:space="preserve"> l</w:t>
      </w:r>
      <w:r>
        <w:rPr>
          <w:rFonts w:ascii="Gilroy Light" w:hAnsi="Gilroy Light" w:cs="Avenir Book"/>
          <w:sz w:val="20"/>
          <w:szCs w:val="20"/>
        </w:rPr>
        <w:t>'e</w:t>
      </w:r>
      <w:r w:rsidRPr="00605DC4">
        <w:rPr>
          <w:rFonts w:ascii="Gilroy Light" w:hAnsi="Gilroy Light" w:cs="Avenir Book"/>
          <w:sz w:val="20"/>
          <w:szCs w:val="20"/>
        </w:rPr>
        <w:t>mpres</w:t>
      </w:r>
      <w:r>
        <w:rPr>
          <w:rFonts w:ascii="Gilroy Light" w:hAnsi="Gilroy Light" w:cs="Avenir Book"/>
          <w:sz w:val="20"/>
          <w:szCs w:val="20"/>
        </w:rPr>
        <w:t>a adjudicatària</w:t>
      </w:r>
      <w:r w:rsidRPr="00605DC4">
        <w:rPr>
          <w:rFonts w:ascii="Gilroy Light" w:hAnsi="Gilroy Light" w:cs="Avenir Book"/>
          <w:sz w:val="20"/>
          <w:szCs w:val="20"/>
        </w:rPr>
        <w:t xml:space="preserve"> </w:t>
      </w:r>
      <w:r w:rsidR="005D3982">
        <w:rPr>
          <w:rFonts w:ascii="Gilroy Light" w:hAnsi="Gilroy Light" w:cs="Avenir Book"/>
          <w:sz w:val="20"/>
          <w:szCs w:val="20"/>
        </w:rPr>
        <w:t>podrà</w:t>
      </w:r>
      <w:r w:rsidRPr="00605DC4">
        <w:rPr>
          <w:rFonts w:ascii="Gilroy Light" w:hAnsi="Gilroy Light" w:cs="Avenir Book"/>
          <w:sz w:val="20"/>
          <w:szCs w:val="20"/>
        </w:rPr>
        <w:t xml:space="preserve"> justificar els resultats</w:t>
      </w:r>
      <w:r>
        <w:rPr>
          <w:rFonts w:ascii="Gilroy Light" w:hAnsi="Gilroy Light" w:cs="Avenir Book"/>
          <w:sz w:val="20"/>
          <w:szCs w:val="20"/>
        </w:rPr>
        <w:t>,</w:t>
      </w:r>
      <w:r w:rsidRPr="00605DC4">
        <w:rPr>
          <w:rFonts w:ascii="Gilroy Light" w:hAnsi="Gilroy Light" w:cs="Avenir Book"/>
          <w:sz w:val="20"/>
          <w:szCs w:val="20"/>
        </w:rPr>
        <w:t xml:space="preserve"> abans d'aplicar les penalitzacions</w:t>
      </w:r>
      <w:r>
        <w:rPr>
          <w:rFonts w:ascii="Gilroy Light" w:hAnsi="Gilroy Light" w:cs="Avenir Book"/>
          <w:sz w:val="20"/>
          <w:szCs w:val="20"/>
        </w:rPr>
        <w:t>.</w:t>
      </w:r>
    </w:p>
    <w:p w14:paraId="29F26C83" w14:textId="77777777" w:rsidR="00A64F89" w:rsidRPr="00A64F89" w:rsidRDefault="00A64F89" w:rsidP="00953D2F">
      <w:pPr>
        <w:spacing w:after="0" w:line="276" w:lineRule="auto"/>
        <w:jc w:val="both"/>
        <w:rPr>
          <w:rFonts w:ascii="Gilroy Light" w:hAnsi="Gilroy Light" w:cs="Avenir Book"/>
          <w:sz w:val="20"/>
          <w:szCs w:val="20"/>
        </w:rPr>
      </w:pPr>
    </w:p>
    <w:p w14:paraId="4FAB8AB7" w14:textId="361C1A07" w:rsidR="00A64F89" w:rsidRPr="00A64F89" w:rsidRDefault="00A64F89" w:rsidP="00A64F89">
      <w:pPr>
        <w:ind w:left="360" w:hanging="360"/>
        <w:rPr>
          <w:rFonts w:ascii="Gilroy Medium" w:hAnsi="Gilroy Medium" w:cstheme="majorHAnsi"/>
          <w:sz w:val="20"/>
          <w:szCs w:val="20"/>
        </w:rPr>
      </w:pPr>
      <w:bookmarkStart w:id="0" w:name="_Toc62050172"/>
      <w:bookmarkStart w:id="1" w:name="_Toc63787119"/>
      <w:r>
        <w:rPr>
          <w:rFonts w:ascii="Gilroy Medium" w:hAnsi="Gilroy Medium" w:cstheme="majorHAnsi"/>
          <w:sz w:val="20"/>
          <w:szCs w:val="20"/>
        </w:rPr>
        <w:t xml:space="preserve">2. </w:t>
      </w:r>
      <w:r w:rsidRPr="00A64F89">
        <w:rPr>
          <w:rFonts w:ascii="Gilroy Medium" w:hAnsi="Gilroy Medium" w:cstheme="majorHAnsi"/>
          <w:sz w:val="20"/>
          <w:szCs w:val="20"/>
        </w:rPr>
        <w:t>CONTROL DE LA QUALITAT DEL SERVEI</w:t>
      </w:r>
      <w:bookmarkEnd w:id="0"/>
      <w:bookmarkEnd w:id="1"/>
    </w:p>
    <w:p w14:paraId="1C455CBD" w14:textId="01F89658" w:rsidR="00A64F89" w:rsidRPr="0052464A" w:rsidRDefault="00A64F89" w:rsidP="00A64F89">
      <w:pPr>
        <w:tabs>
          <w:tab w:val="left" w:pos="2712"/>
        </w:tabs>
        <w:jc w:val="both"/>
        <w:rPr>
          <w:rFonts w:ascii="Gilroy Light" w:hAnsi="Gilroy Light" w:cs="Calibri"/>
          <w:sz w:val="20"/>
          <w:szCs w:val="20"/>
        </w:rPr>
      </w:pPr>
      <w:r w:rsidRPr="0052464A">
        <w:rPr>
          <w:rFonts w:ascii="Gilroy Light" w:hAnsi="Gilroy Light" w:cs="Calibri"/>
          <w:sz w:val="20"/>
          <w:szCs w:val="20"/>
        </w:rPr>
        <w:t>A continuació s’indi</w:t>
      </w:r>
      <w:r w:rsidR="00C617F7">
        <w:rPr>
          <w:rFonts w:ascii="Gilroy Light" w:hAnsi="Gilroy Light" w:cs="Calibri"/>
          <w:sz w:val="20"/>
          <w:szCs w:val="20"/>
        </w:rPr>
        <w:t>quen</w:t>
      </w:r>
      <w:r w:rsidRPr="0052464A">
        <w:rPr>
          <w:rFonts w:ascii="Gilroy Light" w:hAnsi="Gilroy Light" w:cs="Calibri"/>
          <w:sz w:val="20"/>
          <w:szCs w:val="20"/>
        </w:rPr>
        <w:t xml:space="preserve"> els serveis a inspeccionar, així com la qualificació del resultat de les inspeccions i la deducció associada. </w:t>
      </w:r>
    </w:p>
    <w:p w14:paraId="2C038193" w14:textId="3F5630B3" w:rsidR="00A64F89" w:rsidRPr="0052464A" w:rsidRDefault="00A64F89" w:rsidP="00A64F89">
      <w:pPr>
        <w:tabs>
          <w:tab w:val="left" w:pos="2712"/>
        </w:tabs>
        <w:jc w:val="both"/>
        <w:rPr>
          <w:rFonts w:ascii="Gilroy Light" w:hAnsi="Gilroy Light" w:cs="Calibri"/>
          <w:sz w:val="20"/>
          <w:szCs w:val="20"/>
        </w:rPr>
      </w:pPr>
      <w:r w:rsidRPr="0052464A">
        <w:rPr>
          <w:rFonts w:ascii="Gilroy Light" w:hAnsi="Gilroy Light" w:cs="Calibri"/>
          <w:sz w:val="20"/>
          <w:szCs w:val="20"/>
        </w:rPr>
        <w:t>La metodologia per a l</w:t>
      </w:r>
      <w:r w:rsidR="0087748F">
        <w:rPr>
          <w:rFonts w:ascii="Gilroy Light" w:hAnsi="Gilroy Light" w:cs="Calibri"/>
          <w:sz w:val="20"/>
          <w:szCs w:val="20"/>
        </w:rPr>
        <w:t>'</w:t>
      </w:r>
      <w:r w:rsidRPr="0052464A">
        <w:rPr>
          <w:rFonts w:ascii="Gilroy Light" w:hAnsi="Gilroy Light" w:cs="Calibri"/>
          <w:sz w:val="20"/>
          <w:szCs w:val="20"/>
        </w:rPr>
        <w:t>obtenció dels resultats serà la determinada per</w:t>
      </w:r>
      <w:r w:rsidR="001A64E6">
        <w:rPr>
          <w:rFonts w:ascii="Gilroy Light" w:hAnsi="Gilroy Light" w:cs="Calibri"/>
          <w:sz w:val="20"/>
          <w:szCs w:val="20"/>
        </w:rPr>
        <w:t xml:space="preserve"> Mercabarna</w:t>
      </w:r>
      <w:r w:rsidRPr="0052464A">
        <w:rPr>
          <w:rFonts w:ascii="Gilroy Light" w:hAnsi="Gilroy Light" w:cs="Calibri"/>
          <w:sz w:val="20"/>
          <w:szCs w:val="20"/>
        </w:rPr>
        <w:t xml:space="preserve"> abans d’iniciar les inspeccions.</w:t>
      </w:r>
    </w:p>
    <w:p w14:paraId="1D8EB6C0" w14:textId="373A8844" w:rsidR="00A64F89" w:rsidRPr="00A64F89" w:rsidRDefault="00A64F89" w:rsidP="00953D2F">
      <w:pPr>
        <w:tabs>
          <w:tab w:val="left" w:pos="2712"/>
        </w:tabs>
        <w:spacing w:after="0" w:line="240" w:lineRule="auto"/>
        <w:outlineLvl w:val="1"/>
        <w:rPr>
          <w:rFonts w:ascii="Gilroy Light" w:hAnsi="Gilroy Light" w:cs="Calibri"/>
          <w:sz w:val="20"/>
          <w:szCs w:val="20"/>
        </w:rPr>
      </w:pPr>
    </w:p>
    <w:p w14:paraId="0705AF22" w14:textId="446BD782" w:rsidR="00A64F89" w:rsidRPr="00A64F89" w:rsidRDefault="00A64F89" w:rsidP="00A64F89">
      <w:pPr>
        <w:pStyle w:val="Normal11"/>
        <w:spacing w:after="0"/>
        <w:rPr>
          <w:rFonts w:ascii="Gilroy Medium" w:eastAsia="Times" w:hAnsi="Gilroy Medium" w:cstheme="majorHAnsi"/>
          <w:sz w:val="20"/>
          <w:szCs w:val="20"/>
          <w:lang w:eastAsia="es-ES"/>
        </w:rPr>
      </w:pPr>
      <w:r>
        <w:rPr>
          <w:rFonts w:ascii="Gilroy Medium" w:hAnsi="Gilroy Medium" w:cs="Calibri"/>
          <w:sz w:val="20"/>
          <w:szCs w:val="20"/>
        </w:rPr>
        <w:t xml:space="preserve">2.1. </w:t>
      </w:r>
      <w:r w:rsidRPr="00A64F89">
        <w:rPr>
          <w:rFonts w:ascii="Gilroy Medium" w:hAnsi="Gilroy Medium" w:cs="Calibri"/>
          <w:sz w:val="20"/>
          <w:szCs w:val="20"/>
        </w:rPr>
        <w:t xml:space="preserve">MANTENIMENT DE </w:t>
      </w:r>
      <w:r w:rsidR="001A64E6">
        <w:rPr>
          <w:rFonts w:ascii="Gilroy Medium" w:hAnsi="Gilroy Medium" w:cs="Calibri"/>
          <w:sz w:val="20"/>
          <w:szCs w:val="20"/>
        </w:rPr>
        <w:t xml:space="preserve">GÀBIES I </w:t>
      </w:r>
      <w:r w:rsidRPr="00A64F89">
        <w:rPr>
          <w:rFonts w:ascii="Gilroy Medium" w:hAnsi="Gilroy Medium" w:cs="Calibri"/>
          <w:sz w:val="20"/>
          <w:szCs w:val="20"/>
        </w:rPr>
        <w:t>CONTENIDORS</w:t>
      </w:r>
    </w:p>
    <w:p w14:paraId="001C547E" w14:textId="668B230A" w:rsidR="00A64F89" w:rsidRPr="00A43A8A" w:rsidRDefault="00A64F89" w:rsidP="00A64F89">
      <w:pPr>
        <w:tabs>
          <w:tab w:val="left" w:pos="2712"/>
        </w:tabs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>Deficiències en el manteniment de</w:t>
      </w:r>
      <w:r w:rsidR="001A64E6">
        <w:rPr>
          <w:rFonts w:ascii="Gilroy Light" w:hAnsi="Gilroy Light" w:cs="Calibri"/>
          <w:sz w:val="20"/>
          <w:szCs w:val="20"/>
        </w:rPr>
        <w:t xml:space="preserve"> gàbies i</w:t>
      </w:r>
      <w:r w:rsidRPr="00A43A8A">
        <w:rPr>
          <w:rFonts w:ascii="Gilroy Light" w:hAnsi="Gilroy Light" w:cs="Calibri"/>
          <w:sz w:val="20"/>
          <w:szCs w:val="20"/>
        </w:rPr>
        <w:t xml:space="preserve"> contenidors (amb una mostra d’un mínim del 25% dels contenidors </w:t>
      </w:r>
      <w:r w:rsidR="001A64E6">
        <w:rPr>
          <w:rFonts w:ascii="Gilroy Light" w:hAnsi="Gilroy Light" w:cs="Calibri"/>
          <w:sz w:val="20"/>
          <w:szCs w:val="20"/>
        </w:rPr>
        <w:t xml:space="preserve">i gàbies </w:t>
      </w:r>
      <w:r w:rsidRPr="00A43A8A">
        <w:rPr>
          <w:rFonts w:ascii="Gilroy Light" w:hAnsi="Gilroy Light" w:cs="Calibri"/>
          <w:sz w:val="20"/>
          <w:szCs w:val="20"/>
        </w:rPr>
        <w:t xml:space="preserve">totals). </w:t>
      </w:r>
    </w:p>
    <w:p w14:paraId="59E20E88" w14:textId="77777777" w:rsidR="00A64F89" w:rsidRPr="00A43A8A" w:rsidRDefault="00A64F89" w:rsidP="00A64F89">
      <w:pPr>
        <w:tabs>
          <w:tab w:val="left" w:pos="2712"/>
        </w:tabs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 xml:space="preserve">Entre els aspectes a inspeccionar es troben: </w:t>
      </w:r>
    </w:p>
    <w:p w14:paraId="03CE6658" w14:textId="2A44BA7B" w:rsidR="001A64E6" w:rsidRDefault="001A64E6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Contenidors laterals:</w:t>
      </w:r>
    </w:p>
    <w:p w14:paraId="5054706B" w14:textId="45EBD81B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Tapa trencada</w:t>
      </w:r>
    </w:p>
    <w:p w14:paraId="52698825" w14:textId="77777777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Tapa no tanca correctament</w:t>
      </w:r>
    </w:p>
    <w:p w14:paraId="3598D406" w14:textId="43DB1941" w:rsidR="00A64F89" w:rsidRPr="006D6A88" w:rsidRDefault="0087748F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Boló</w:t>
      </w:r>
      <w:r w:rsidR="00A64F89" w:rsidRPr="006D6A88">
        <w:rPr>
          <w:rFonts w:ascii="Gilroy Light" w:hAnsi="Gilroy Light" w:cs="Avenir Book"/>
          <w:sz w:val="20"/>
          <w:szCs w:val="20"/>
        </w:rPr>
        <w:t xml:space="preserve"> de càrrega en mal estat/gastat</w:t>
      </w:r>
    </w:p>
    <w:p w14:paraId="430AC930" w14:textId="77777777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Cos del contenidor trencat</w:t>
      </w:r>
    </w:p>
    <w:p w14:paraId="0FD51C91" w14:textId="77777777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Pedal trencat o inutilitzat</w:t>
      </w:r>
    </w:p>
    <w:p w14:paraId="3E3795B0" w14:textId="77777777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Cos del contenidor cremat</w:t>
      </w:r>
    </w:p>
    <w:p w14:paraId="652DA3AD" w14:textId="77777777" w:rsidR="0087748F" w:rsidRDefault="0087748F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 xml:space="preserve">Tapa cremada </w:t>
      </w:r>
    </w:p>
    <w:p w14:paraId="75766650" w14:textId="459E4E46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Pedal no funciona correctament (no està trencat)</w:t>
      </w:r>
    </w:p>
    <w:p w14:paraId="649B7148" w14:textId="77777777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Manquen elements de reducció de boca</w:t>
      </w:r>
    </w:p>
    <w:p w14:paraId="3A55B8B7" w14:textId="66B9FC6D" w:rsidR="00A64F89" w:rsidRPr="006D6A88" w:rsidRDefault="0087748F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Cos del contenidor o tapa deformats</w:t>
      </w:r>
    </w:p>
    <w:p w14:paraId="059C0AFE" w14:textId="77777777" w:rsidR="00A64F89" w:rsidRPr="006D6A88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Elements d'imatge malmesos</w:t>
      </w:r>
    </w:p>
    <w:p w14:paraId="4E5E62D4" w14:textId="77777777" w:rsidR="00A64F89" w:rsidRPr="005D3982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Frens trencats o no posats</w:t>
      </w:r>
    </w:p>
    <w:p w14:paraId="6C970EE3" w14:textId="77777777" w:rsidR="00A64F89" w:rsidRPr="005D3982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Rodes trencades</w:t>
      </w:r>
    </w:p>
    <w:p w14:paraId="7A230070" w14:textId="42BED7AD" w:rsidR="00A64F89" w:rsidRPr="005D3982" w:rsidRDefault="00A64F89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Tap de desaig</w:t>
      </w:r>
      <w:r w:rsidR="005D3982">
        <w:rPr>
          <w:rFonts w:ascii="Gilroy Light" w:hAnsi="Gilroy Light" w:cs="Avenir Book"/>
          <w:sz w:val="20"/>
          <w:szCs w:val="20"/>
        </w:rPr>
        <w:t>ua</w:t>
      </w:r>
      <w:r w:rsidRPr="005D3982">
        <w:rPr>
          <w:rFonts w:ascii="Gilroy Light" w:hAnsi="Gilroy Light" w:cs="Avenir Book"/>
          <w:sz w:val="20"/>
          <w:szCs w:val="20"/>
        </w:rPr>
        <w:t xml:space="preserve"> inexistent</w:t>
      </w:r>
    </w:p>
    <w:p w14:paraId="4C8D42D4" w14:textId="4D063E10" w:rsidR="001A64E6" w:rsidRPr="001A64E6" w:rsidRDefault="001A64E6" w:rsidP="001A64E6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1A64E6">
        <w:rPr>
          <w:rFonts w:ascii="Gilroy Light" w:hAnsi="Gilroy Light" w:cs="Avenir Book"/>
          <w:sz w:val="20"/>
          <w:szCs w:val="20"/>
        </w:rPr>
        <w:t>Gàbies:</w:t>
      </w:r>
    </w:p>
    <w:p w14:paraId="74E507EC" w14:textId="3549C15F" w:rsidR="001A64E6" w:rsidRPr="006D6A88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 xml:space="preserve">Cos </w:t>
      </w:r>
      <w:r>
        <w:rPr>
          <w:rFonts w:ascii="Gilroy Light" w:hAnsi="Gilroy Light" w:cs="Avenir Book"/>
          <w:sz w:val="20"/>
          <w:szCs w:val="20"/>
        </w:rPr>
        <w:t>de la gàbia</w:t>
      </w:r>
      <w:r w:rsidRPr="006D6A88">
        <w:rPr>
          <w:rFonts w:ascii="Gilroy Light" w:hAnsi="Gilroy Light" w:cs="Avenir Book"/>
          <w:sz w:val="20"/>
          <w:szCs w:val="20"/>
        </w:rPr>
        <w:t xml:space="preserve"> trencat</w:t>
      </w:r>
    </w:p>
    <w:p w14:paraId="57CBFF42" w14:textId="77777777" w:rsidR="00CA0C02" w:rsidRPr="006D6A88" w:rsidRDefault="00CA0C02" w:rsidP="00CA0C02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Cos del contenidor deformat</w:t>
      </w:r>
    </w:p>
    <w:p w14:paraId="76F62B7B" w14:textId="24AA2B9C" w:rsidR="00CA0C02" w:rsidRPr="00CA0C02" w:rsidRDefault="00CA0C02" w:rsidP="00CA0C02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Boca reductora deformada</w:t>
      </w:r>
    </w:p>
    <w:p w14:paraId="1C6FBD3D" w14:textId="77777777" w:rsidR="001A64E6" w:rsidRPr="006D6A88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Elements d'imatge malmesos</w:t>
      </w:r>
    </w:p>
    <w:p w14:paraId="05BB7E18" w14:textId="77777777" w:rsidR="001A64E6" w:rsidRPr="005D3982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Frens trencats o no posats</w:t>
      </w:r>
    </w:p>
    <w:p w14:paraId="04E1034A" w14:textId="77777777" w:rsidR="001A64E6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Rodes trencades</w:t>
      </w:r>
    </w:p>
    <w:p w14:paraId="6CBE8A5F" w14:textId="01F296B7" w:rsidR="002A32F7" w:rsidRPr="005D3982" w:rsidRDefault="002A32F7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Elements de l'enganxament del remolc malmesos o trencats</w:t>
      </w:r>
    </w:p>
    <w:p w14:paraId="08FBD443" w14:textId="4053D9C0" w:rsidR="001A64E6" w:rsidRPr="001A64E6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Tap de desaig</w:t>
      </w:r>
      <w:r>
        <w:rPr>
          <w:rFonts w:ascii="Gilroy Light" w:hAnsi="Gilroy Light" w:cs="Avenir Book"/>
          <w:sz w:val="20"/>
          <w:szCs w:val="20"/>
        </w:rPr>
        <w:t>ua</w:t>
      </w:r>
      <w:r w:rsidRPr="005D3982">
        <w:rPr>
          <w:rFonts w:ascii="Gilroy Light" w:hAnsi="Gilroy Light" w:cs="Avenir Book"/>
          <w:sz w:val="20"/>
          <w:szCs w:val="20"/>
        </w:rPr>
        <w:t xml:space="preserve"> inexistent</w:t>
      </w:r>
    </w:p>
    <w:p w14:paraId="1E67D65A" w14:textId="62498CF0" w:rsidR="00A64F89" w:rsidRPr="00A43A8A" w:rsidRDefault="00A64F89" w:rsidP="00A64F89">
      <w:pPr>
        <w:tabs>
          <w:tab w:val="left" w:pos="2712"/>
        </w:tabs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lastRenderedPageBreak/>
        <w:t>Un cop realitzades les inspeccions es calcularà quin percentatge d</w:t>
      </w:r>
      <w:r w:rsidR="001A64E6">
        <w:rPr>
          <w:rFonts w:ascii="Gilroy Light" w:hAnsi="Gilroy Light" w:cs="Calibri"/>
          <w:sz w:val="20"/>
          <w:szCs w:val="20"/>
        </w:rPr>
        <w:t xml:space="preserve">'elements de contenització </w:t>
      </w:r>
      <w:r w:rsidRPr="00A43A8A">
        <w:rPr>
          <w:rFonts w:ascii="Gilroy Light" w:hAnsi="Gilroy Light" w:cs="Calibri"/>
          <w:sz w:val="20"/>
          <w:szCs w:val="20"/>
        </w:rPr>
        <w:t>inspeccionats present</w:t>
      </w:r>
      <w:r w:rsidR="0087748F">
        <w:rPr>
          <w:rFonts w:ascii="Gilroy Light" w:hAnsi="Gilroy Light" w:cs="Calibri"/>
          <w:sz w:val="20"/>
          <w:szCs w:val="20"/>
        </w:rPr>
        <w:t>e</w:t>
      </w:r>
      <w:r w:rsidRPr="00A43A8A">
        <w:rPr>
          <w:rFonts w:ascii="Gilroy Light" w:hAnsi="Gilroy Light" w:cs="Calibri"/>
          <w:sz w:val="20"/>
          <w:szCs w:val="20"/>
        </w:rPr>
        <w:t>n algun tipus d’incorrecció de manteniment (el càlcul es realitzarà sobre el número d</w:t>
      </w:r>
      <w:r w:rsidR="001A64E6">
        <w:rPr>
          <w:rFonts w:ascii="Gilroy Light" w:hAnsi="Gilroy Light" w:cs="Calibri"/>
          <w:sz w:val="20"/>
          <w:szCs w:val="20"/>
        </w:rPr>
        <w:t>'</w:t>
      </w:r>
      <w:r w:rsidRPr="00A43A8A">
        <w:rPr>
          <w:rFonts w:ascii="Gilroy Light" w:hAnsi="Gilroy Light" w:cs="Calibri"/>
          <w:sz w:val="20"/>
          <w:szCs w:val="20"/>
        </w:rPr>
        <w:t>e</w:t>
      </w:r>
      <w:r w:rsidR="001A64E6">
        <w:rPr>
          <w:rFonts w:ascii="Gilroy Light" w:hAnsi="Gilroy Light" w:cs="Calibri"/>
          <w:sz w:val="20"/>
          <w:szCs w:val="20"/>
        </w:rPr>
        <w:t>lements de</w:t>
      </w:r>
      <w:r w:rsidRPr="00A43A8A">
        <w:rPr>
          <w:rFonts w:ascii="Gilroy Light" w:hAnsi="Gilroy Light" w:cs="Calibri"/>
          <w:sz w:val="20"/>
          <w:szCs w:val="20"/>
        </w:rPr>
        <w:t xml:space="preserve"> conteni</w:t>
      </w:r>
      <w:r w:rsidR="001A64E6">
        <w:rPr>
          <w:rFonts w:ascii="Gilroy Light" w:hAnsi="Gilroy Light" w:cs="Calibri"/>
          <w:sz w:val="20"/>
          <w:szCs w:val="20"/>
        </w:rPr>
        <w:t>tzació</w:t>
      </w:r>
      <w:r w:rsidRPr="00A43A8A">
        <w:rPr>
          <w:rFonts w:ascii="Gilroy Light" w:hAnsi="Gilroy Light" w:cs="Calibri"/>
          <w:sz w:val="20"/>
          <w:szCs w:val="20"/>
        </w:rPr>
        <w:t xml:space="preserve"> inspeccionats, no els totals).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330"/>
        <w:gridCol w:w="1214"/>
      </w:tblGrid>
      <w:tr w:rsidR="00A64F89" w:rsidRPr="00A43A8A" w14:paraId="466AF729" w14:textId="77777777" w:rsidTr="0087748F">
        <w:tc>
          <w:tcPr>
            <w:tcW w:w="4962" w:type="dxa"/>
          </w:tcPr>
          <w:p w14:paraId="1096FBBC" w14:textId="77777777" w:rsidR="00A64F89" w:rsidRPr="0087748F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Medium" w:hAnsi="Gilroy Medium" w:cs="Calibri"/>
                <w:sz w:val="20"/>
                <w:szCs w:val="20"/>
              </w:rPr>
            </w:pPr>
            <w:r w:rsidRPr="0087748F">
              <w:rPr>
                <w:rFonts w:ascii="Gilroy Medium" w:hAnsi="Gilroy Medium" w:cs="Calibri"/>
                <w:sz w:val="20"/>
                <w:szCs w:val="20"/>
              </w:rPr>
              <w:t>Resultat</w:t>
            </w:r>
          </w:p>
        </w:tc>
        <w:tc>
          <w:tcPr>
            <w:tcW w:w="2330" w:type="dxa"/>
          </w:tcPr>
          <w:p w14:paraId="0B442840" w14:textId="77777777" w:rsidR="00A64F89" w:rsidRPr="0087748F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Medium" w:hAnsi="Gilroy Medium" w:cs="Calibri"/>
                <w:sz w:val="20"/>
                <w:szCs w:val="20"/>
              </w:rPr>
            </w:pPr>
            <w:r w:rsidRPr="0087748F">
              <w:rPr>
                <w:rFonts w:ascii="Gilroy Medium" w:hAnsi="Gilroy Medium" w:cs="Calibri"/>
                <w:sz w:val="20"/>
                <w:szCs w:val="20"/>
              </w:rPr>
              <w:t>Grau de satisfacció</w:t>
            </w:r>
          </w:p>
        </w:tc>
        <w:tc>
          <w:tcPr>
            <w:tcW w:w="1214" w:type="dxa"/>
          </w:tcPr>
          <w:p w14:paraId="50C8E7A1" w14:textId="77777777" w:rsidR="00A64F89" w:rsidRPr="0087748F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Medium" w:hAnsi="Gilroy Medium" w:cs="Calibri"/>
                <w:sz w:val="20"/>
                <w:szCs w:val="20"/>
              </w:rPr>
            </w:pPr>
            <w:r w:rsidRPr="0087748F">
              <w:rPr>
                <w:rFonts w:ascii="Gilroy Medium" w:hAnsi="Gilroy Medium" w:cs="Calibri"/>
                <w:sz w:val="20"/>
                <w:szCs w:val="20"/>
              </w:rPr>
              <w:t>Deducció</w:t>
            </w:r>
          </w:p>
        </w:tc>
      </w:tr>
      <w:tr w:rsidR="00A64F89" w:rsidRPr="00A43A8A" w14:paraId="7DE68E18" w14:textId="77777777" w:rsidTr="0087748F">
        <w:tc>
          <w:tcPr>
            <w:tcW w:w="4962" w:type="dxa"/>
          </w:tcPr>
          <w:p w14:paraId="1098BA69" w14:textId="62370973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&gt; 20% d</w:t>
            </w:r>
            <w:r w:rsidR="001A64E6">
              <w:rPr>
                <w:rFonts w:ascii="Gilroy Light" w:hAnsi="Gilroy Light" w:cs="Calibri"/>
                <w:sz w:val="20"/>
                <w:szCs w:val="20"/>
              </w:rPr>
              <w:t>'elem</w:t>
            </w:r>
            <w:r w:rsidRPr="00A43A8A">
              <w:rPr>
                <w:rFonts w:ascii="Gilroy Light" w:hAnsi="Gilroy Light" w:cs="Calibri"/>
                <w:sz w:val="20"/>
                <w:szCs w:val="20"/>
              </w:rPr>
              <w:t>e</w:t>
            </w:r>
            <w:r w:rsidR="001A64E6">
              <w:rPr>
                <w:rFonts w:ascii="Gilroy Light" w:hAnsi="Gilroy Light" w:cs="Calibri"/>
                <w:sz w:val="20"/>
                <w:szCs w:val="20"/>
              </w:rPr>
              <w:t>nts de</w:t>
            </w:r>
            <w:r w:rsidRPr="00A43A8A">
              <w:rPr>
                <w:rFonts w:ascii="Gilroy Light" w:hAnsi="Gilroy Light" w:cs="Calibri"/>
                <w:sz w:val="20"/>
                <w:szCs w:val="20"/>
              </w:rPr>
              <w:t xml:space="preserve"> conteni</w:t>
            </w:r>
            <w:r w:rsidR="001A64E6">
              <w:rPr>
                <w:rFonts w:ascii="Gilroy Light" w:hAnsi="Gilroy Light" w:cs="Calibri"/>
                <w:sz w:val="20"/>
                <w:szCs w:val="20"/>
              </w:rPr>
              <w:t>tzació</w:t>
            </w:r>
            <w:r w:rsidRPr="00A43A8A">
              <w:rPr>
                <w:rFonts w:ascii="Gilroy Light" w:hAnsi="Gilroy Light" w:cs="Calibri"/>
                <w:sz w:val="20"/>
                <w:szCs w:val="20"/>
              </w:rPr>
              <w:t xml:space="preserve"> inspeccionats amb alguna deficiència de manteniment</w:t>
            </w:r>
          </w:p>
        </w:tc>
        <w:tc>
          <w:tcPr>
            <w:tcW w:w="2330" w:type="dxa"/>
          </w:tcPr>
          <w:p w14:paraId="4E3411CE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No Satisfactori</w:t>
            </w:r>
          </w:p>
        </w:tc>
        <w:tc>
          <w:tcPr>
            <w:tcW w:w="1214" w:type="dxa"/>
          </w:tcPr>
          <w:p w14:paraId="3E9BE680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30%</w:t>
            </w:r>
          </w:p>
        </w:tc>
      </w:tr>
      <w:tr w:rsidR="00A64F89" w:rsidRPr="00A43A8A" w14:paraId="75558222" w14:textId="77777777" w:rsidTr="0087748F">
        <w:tc>
          <w:tcPr>
            <w:tcW w:w="4962" w:type="dxa"/>
          </w:tcPr>
          <w:p w14:paraId="10E62782" w14:textId="5C1E6EA8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 xml:space="preserve">&gt; 30% </w:t>
            </w:r>
            <w:r w:rsidR="001A64E6" w:rsidRPr="00A43A8A">
              <w:rPr>
                <w:rFonts w:ascii="Gilroy Light" w:hAnsi="Gilroy Light" w:cs="Calibri"/>
                <w:sz w:val="20"/>
                <w:szCs w:val="20"/>
              </w:rPr>
              <w:t>d</w:t>
            </w:r>
            <w:r w:rsidR="001A64E6">
              <w:rPr>
                <w:rFonts w:ascii="Gilroy Light" w:hAnsi="Gilroy Light" w:cs="Calibri"/>
                <w:sz w:val="20"/>
                <w:szCs w:val="20"/>
              </w:rPr>
              <w:t>'elem</w:t>
            </w:r>
            <w:r w:rsidR="001A64E6" w:rsidRPr="00A43A8A">
              <w:rPr>
                <w:rFonts w:ascii="Gilroy Light" w:hAnsi="Gilroy Light" w:cs="Calibri"/>
                <w:sz w:val="20"/>
                <w:szCs w:val="20"/>
              </w:rPr>
              <w:t>e</w:t>
            </w:r>
            <w:r w:rsidR="001A64E6">
              <w:rPr>
                <w:rFonts w:ascii="Gilroy Light" w:hAnsi="Gilroy Light" w:cs="Calibri"/>
                <w:sz w:val="20"/>
                <w:szCs w:val="20"/>
              </w:rPr>
              <w:t>nts de</w:t>
            </w:r>
            <w:r w:rsidR="001A64E6" w:rsidRPr="00A43A8A">
              <w:rPr>
                <w:rFonts w:ascii="Gilroy Light" w:hAnsi="Gilroy Light" w:cs="Calibri"/>
                <w:sz w:val="20"/>
                <w:szCs w:val="20"/>
              </w:rPr>
              <w:t xml:space="preserve"> conteni</w:t>
            </w:r>
            <w:r w:rsidR="001A64E6">
              <w:rPr>
                <w:rFonts w:ascii="Gilroy Light" w:hAnsi="Gilroy Light" w:cs="Calibri"/>
                <w:sz w:val="20"/>
                <w:szCs w:val="20"/>
              </w:rPr>
              <w:t>tzació</w:t>
            </w:r>
            <w:r w:rsidR="001A64E6" w:rsidRPr="00A43A8A">
              <w:rPr>
                <w:rFonts w:ascii="Gilroy Light" w:hAnsi="Gilroy Light" w:cs="Calibri"/>
                <w:sz w:val="20"/>
                <w:szCs w:val="20"/>
              </w:rPr>
              <w:t xml:space="preserve"> </w:t>
            </w:r>
            <w:r w:rsidRPr="00A43A8A">
              <w:rPr>
                <w:rFonts w:ascii="Gilroy Light" w:hAnsi="Gilroy Light" w:cs="Calibri"/>
                <w:sz w:val="20"/>
                <w:szCs w:val="20"/>
              </w:rPr>
              <w:t>inspeccionats amb alguna deficiència de manteniment</w:t>
            </w:r>
          </w:p>
        </w:tc>
        <w:tc>
          <w:tcPr>
            <w:tcW w:w="2330" w:type="dxa"/>
          </w:tcPr>
          <w:p w14:paraId="68865235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Gens Satisfactori</w:t>
            </w:r>
          </w:p>
        </w:tc>
        <w:tc>
          <w:tcPr>
            <w:tcW w:w="1214" w:type="dxa"/>
          </w:tcPr>
          <w:p w14:paraId="040CAD00" w14:textId="211A8120" w:rsidR="00A64F89" w:rsidRPr="00A43A8A" w:rsidRDefault="00F623F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6</w:t>
            </w:r>
            <w:r w:rsidR="00A64F89" w:rsidRPr="00A43A8A">
              <w:rPr>
                <w:rFonts w:ascii="Gilroy Light" w:hAnsi="Gilroy Light" w:cs="Calibri"/>
                <w:sz w:val="20"/>
                <w:szCs w:val="20"/>
              </w:rPr>
              <w:t>0%</w:t>
            </w:r>
          </w:p>
        </w:tc>
      </w:tr>
    </w:tbl>
    <w:p w14:paraId="5DC6D5C0" w14:textId="519B4D13" w:rsidR="00A64F89" w:rsidRPr="00A43A8A" w:rsidRDefault="00A64F89" w:rsidP="00953D2F">
      <w:pPr>
        <w:tabs>
          <w:tab w:val="left" w:pos="2712"/>
        </w:tabs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>Les deduccions s’aplicaran sobre els imports mensuals que a la oferta es destinin al manteniment dels contenidors</w:t>
      </w:r>
      <w:r w:rsidR="001A64E6">
        <w:rPr>
          <w:rFonts w:ascii="Gilroy Light" w:hAnsi="Gilroy Light" w:cs="Calibri"/>
          <w:sz w:val="20"/>
          <w:szCs w:val="20"/>
        </w:rPr>
        <w:t xml:space="preserve"> i gàbies</w:t>
      </w:r>
      <w:r w:rsidRPr="00A43A8A">
        <w:rPr>
          <w:rFonts w:ascii="Gilroy Light" w:hAnsi="Gilroy Light" w:cs="Calibri"/>
          <w:sz w:val="20"/>
          <w:szCs w:val="20"/>
        </w:rPr>
        <w:t>.</w:t>
      </w:r>
    </w:p>
    <w:p w14:paraId="30030E14" w14:textId="77777777" w:rsidR="00A64F89" w:rsidRDefault="00A64F89" w:rsidP="00953D2F">
      <w:pPr>
        <w:tabs>
          <w:tab w:val="left" w:pos="2712"/>
        </w:tabs>
        <w:spacing w:after="0"/>
        <w:rPr>
          <w:rFonts w:ascii="Gilroy Light" w:hAnsi="Gilroy Light" w:cs="Calibri"/>
          <w:sz w:val="20"/>
          <w:szCs w:val="20"/>
        </w:rPr>
      </w:pPr>
    </w:p>
    <w:p w14:paraId="003FDB41" w14:textId="57ABCEEC" w:rsidR="00A64F89" w:rsidRPr="00A64F89" w:rsidRDefault="00A64F89" w:rsidP="00A64F89">
      <w:pPr>
        <w:pStyle w:val="Normal11"/>
        <w:spacing w:after="0"/>
        <w:rPr>
          <w:rFonts w:ascii="Gilroy Medium" w:hAnsi="Gilroy Medium" w:cs="Calibri"/>
          <w:sz w:val="20"/>
          <w:szCs w:val="20"/>
        </w:rPr>
      </w:pPr>
      <w:bookmarkStart w:id="2" w:name="_Toc62050174"/>
      <w:bookmarkStart w:id="3" w:name="_Toc63787121"/>
      <w:r w:rsidRPr="00A64F89">
        <w:rPr>
          <w:rFonts w:ascii="Gilroy Medium" w:hAnsi="Gilroy Medium" w:cs="Calibri"/>
          <w:sz w:val="20"/>
          <w:szCs w:val="20"/>
        </w:rPr>
        <w:t>2.2. NETEJA DE</w:t>
      </w:r>
      <w:r w:rsidR="001A64E6">
        <w:rPr>
          <w:rFonts w:ascii="Gilroy Medium" w:hAnsi="Gilroy Medium" w:cs="Calibri"/>
          <w:sz w:val="20"/>
          <w:szCs w:val="20"/>
        </w:rPr>
        <w:t>LS ELEMENTS DE</w:t>
      </w:r>
      <w:r w:rsidRPr="00A64F89">
        <w:rPr>
          <w:rFonts w:ascii="Gilroy Medium" w:hAnsi="Gilroy Medium" w:cs="Calibri"/>
          <w:sz w:val="20"/>
          <w:szCs w:val="20"/>
        </w:rPr>
        <w:t xml:space="preserve"> CONTENI</w:t>
      </w:r>
      <w:bookmarkEnd w:id="2"/>
      <w:bookmarkEnd w:id="3"/>
      <w:r w:rsidR="001A64E6">
        <w:rPr>
          <w:rFonts w:ascii="Gilroy Medium" w:hAnsi="Gilroy Medium" w:cs="Calibri"/>
          <w:sz w:val="20"/>
          <w:szCs w:val="20"/>
        </w:rPr>
        <w:t>TZACIÓ</w:t>
      </w:r>
    </w:p>
    <w:p w14:paraId="2CCAF2C1" w14:textId="182B4DAB" w:rsidR="00A64F89" w:rsidRPr="00A43A8A" w:rsidRDefault="00A64F89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 xml:space="preserve">Deficiències en la neteja tant exterior com interior dels </w:t>
      </w:r>
      <w:r w:rsidR="001A64E6">
        <w:rPr>
          <w:rFonts w:ascii="Gilroy Light" w:hAnsi="Gilroy Light" w:cs="Calibri"/>
          <w:sz w:val="20"/>
          <w:szCs w:val="20"/>
        </w:rPr>
        <w:t xml:space="preserve">elements de </w:t>
      </w:r>
      <w:r w:rsidRPr="00A43A8A">
        <w:rPr>
          <w:rFonts w:ascii="Gilroy Light" w:hAnsi="Gilroy Light" w:cs="Calibri"/>
          <w:sz w:val="20"/>
          <w:szCs w:val="20"/>
        </w:rPr>
        <w:t>conteni</w:t>
      </w:r>
      <w:r w:rsidR="001A64E6">
        <w:rPr>
          <w:rFonts w:ascii="Gilroy Light" w:hAnsi="Gilroy Light" w:cs="Calibri"/>
          <w:sz w:val="20"/>
          <w:szCs w:val="20"/>
        </w:rPr>
        <w:t>tzació</w:t>
      </w:r>
      <w:r w:rsidRPr="00A43A8A">
        <w:rPr>
          <w:rFonts w:ascii="Gilroy Light" w:hAnsi="Gilroy Light" w:cs="Calibri"/>
          <w:sz w:val="20"/>
          <w:szCs w:val="20"/>
        </w:rPr>
        <w:t xml:space="preserve"> i </w:t>
      </w:r>
      <w:r w:rsidR="001A64E6">
        <w:rPr>
          <w:rFonts w:ascii="Gilroy Light" w:hAnsi="Gilroy Light" w:cs="Calibri"/>
          <w:sz w:val="20"/>
          <w:szCs w:val="20"/>
        </w:rPr>
        <w:t xml:space="preserve">els seus </w:t>
      </w:r>
      <w:r w:rsidRPr="00A43A8A">
        <w:rPr>
          <w:rFonts w:ascii="Gilroy Light" w:hAnsi="Gilroy Light" w:cs="Calibri"/>
          <w:sz w:val="20"/>
          <w:szCs w:val="20"/>
        </w:rPr>
        <w:t xml:space="preserve">elements informatius (adhesius) (amb una mostra d’un mínim del 25% dels </w:t>
      </w:r>
      <w:r w:rsidR="001A64E6">
        <w:rPr>
          <w:rFonts w:ascii="Gilroy Light" w:hAnsi="Gilroy Light" w:cs="Calibri"/>
          <w:sz w:val="20"/>
          <w:szCs w:val="20"/>
        </w:rPr>
        <w:t>elements de contenització</w:t>
      </w:r>
      <w:r w:rsidRPr="00A43A8A">
        <w:rPr>
          <w:rFonts w:ascii="Gilroy Light" w:hAnsi="Gilroy Light" w:cs="Calibri"/>
          <w:sz w:val="20"/>
          <w:szCs w:val="20"/>
        </w:rPr>
        <w:t xml:space="preserve"> totals). </w:t>
      </w:r>
    </w:p>
    <w:p w14:paraId="00CF9B0E" w14:textId="77777777" w:rsidR="00A64F89" w:rsidRPr="00A43A8A" w:rsidRDefault="00A64F89" w:rsidP="00A64F89">
      <w:pPr>
        <w:tabs>
          <w:tab w:val="left" w:pos="2712"/>
        </w:tabs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 xml:space="preserve">Entre els aspectes a inspeccionar es troben: </w:t>
      </w:r>
    </w:p>
    <w:p w14:paraId="377C07C8" w14:textId="77777777" w:rsidR="00A64F89" w:rsidRPr="006D6A88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Acumulació de brutícia, pols i/o greix</w:t>
      </w:r>
    </w:p>
    <w:p w14:paraId="2C435721" w14:textId="77777777" w:rsidR="00A64F89" w:rsidRPr="006D6A88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Brutícia i restes de residus per un mal procés de buidat</w:t>
      </w:r>
    </w:p>
    <w:p w14:paraId="2E725944" w14:textId="6B18BD65" w:rsidR="00A64F89" w:rsidRPr="006D6A88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Incrustacions de lixiviats a la boca de</w:t>
      </w:r>
      <w:r w:rsidR="001A64E6">
        <w:rPr>
          <w:rFonts w:ascii="Gilroy Light" w:hAnsi="Gilroy Light" w:cs="Avenir Book"/>
          <w:sz w:val="20"/>
          <w:szCs w:val="20"/>
        </w:rPr>
        <w:t xml:space="preserve"> </w:t>
      </w:r>
      <w:r w:rsidRPr="006D6A88">
        <w:rPr>
          <w:rFonts w:ascii="Gilroy Light" w:hAnsi="Gilroy Light" w:cs="Avenir Book"/>
          <w:sz w:val="20"/>
          <w:szCs w:val="20"/>
        </w:rPr>
        <w:t>l</w:t>
      </w:r>
      <w:r w:rsidR="001A64E6">
        <w:rPr>
          <w:rFonts w:ascii="Gilroy Light" w:hAnsi="Gilroy Light" w:cs="Avenir Book"/>
          <w:sz w:val="20"/>
          <w:szCs w:val="20"/>
        </w:rPr>
        <w:t>'element de</w:t>
      </w:r>
      <w:r w:rsidRPr="006D6A88">
        <w:rPr>
          <w:rFonts w:ascii="Gilroy Light" w:hAnsi="Gilroy Light" w:cs="Avenir Book"/>
          <w:sz w:val="20"/>
          <w:szCs w:val="20"/>
        </w:rPr>
        <w:t xml:space="preserve"> conteni</w:t>
      </w:r>
      <w:r w:rsidR="001A64E6">
        <w:rPr>
          <w:rFonts w:ascii="Gilroy Light" w:hAnsi="Gilroy Light" w:cs="Avenir Book"/>
          <w:sz w:val="20"/>
          <w:szCs w:val="20"/>
        </w:rPr>
        <w:t>tzació</w:t>
      </w:r>
    </w:p>
    <w:p w14:paraId="73D75C18" w14:textId="04F39DF2" w:rsidR="00A64F89" w:rsidRPr="006D6A88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 xml:space="preserve">Incrustacions de residus a la boca </w:t>
      </w:r>
      <w:r w:rsidR="001A64E6" w:rsidRPr="006D6A88">
        <w:rPr>
          <w:rFonts w:ascii="Gilroy Light" w:hAnsi="Gilroy Light" w:cs="Avenir Book"/>
          <w:sz w:val="20"/>
          <w:szCs w:val="20"/>
        </w:rPr>
        <w:t>de</w:t>
      </w:r>
      <w:r w:rsidR="001A64E6">
        <w:rPr>
          <w:rFonts w:ascii="Gilroy Light" w:hAnsi="Gilroy Light" w:cs="Avenir Book"/>
          <w:sz w:val="20"/>
          <w:szCs w:val="20"/>
        </w:rPr>
        <w:t xml:space="preserve"> </w:t>
      </w:r>
      <w:r w:rsidR="001A64E6" w:rsidRPr="006D6A88">
        <w:rPr>
          <w:rFonts w:ascii="Gilroy Light" w:hAnsi="Gilroy Light" w:cs="Avenir Book"/>
          <w:sz w:val="20"/>
          <w:szCs w:val="20"/>
        </w:rPr>
        <w:t>l</w:t>
      </w:r>
      <w:r w:rsidR="001A64E6">
        <w:rPr>
          <w:rFonts w:ascii="Gilroy Light" w:hAnsi="Gilroy Light" w:cs="Avenir Book"/>
          <w:sz w:val="20"/>
          <w:szCs w:val="20"/>
        </w:rPr>
        <w:t>'element de</w:t>
      </w:r>
      <w:r w:rsidR="001A64E6" w:rsidRPr="006D6A88">
        <w:rPr>
          <w:rFonts w:ascii="Gilroy Light" w:hAnsi="Gilroy Light" w:cs="Avenir Book"/>
          <w:sz w:val="20"/>
          <w:szCs w:val="20"/>
        </w:rPr>
        <w:t xml:space="preserve"> conteni</w:t>
      </w:r>
      <w:r w:rsidR="001A64E6">
        <w:rPr>
          <w:rFonts w:ascii="Gilroy Light" w:hAnsi="Gilroy Light" w:cs="Avenir Book"/>
          <w:sz w:val="20"/>
          <w:szCs w:val="20"/>
        </w:rPr>
        <w:t>tzació</w:t>
      </w:r>
    </w:p>
    <w:p w14:paraId="27F4EF1E" w14:textId="77777777" w:rsidR="00A64F89" w:rsidRPr="006D6A88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Pintades</w:t>
      </w:r>
    </w:p>
    <w:p w14:paraId="7A862909" w14:textId="1AA88B5E" w:rsidR="00A64F89" w:rsidRPr="006D6A88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Restes de pintura o esquitxades ja solidifica</w:t>
      </w:r>
      <w:r w:rsidR="00953D2F">
        <w:rPr>
          <w:rFonts w:ascii="Gilroy Light" w:hAnsi="Gilroy Light" w:cs="Avenir Book"/>
          <w:sz w:val="20"/>
          <w:szCs w:val="20"/>
        </w:rPr>
        <w:t>de</w:t>
      </w:r>
      <w:r w:rsidRPr="006D6A88">
        <w:rPr>
          <w:rFonts w:ascii="Gilroy Light" w:hAnsi="Gilroy Light" w:cs="Avenir Book"/>
          <w:sz w:val="20"/>
          <w:szCs w:val="20"/>
        </w:rPr>
        <w:t xml:space="preserve">s en </w:t>
      </w:r>
      <w:r w:rsidR="001A64E6" w:rsidRPr="006D6A88">
        <w:rPr>
          <w:rFonts w:ascii="Gilroy Light" w:hAnsi="Gilroy Light" w:cs="Avenir Book"/>
          <w:sz w:val="20"/>
          <w:szCs w:val="20"/>
        </w:rPr>
        <w:t>l</w:t>
      </w:r>
      <w:r w:rsidR="001A64E6">
        <w:rPr>
          <w:rFonts w:ascii="Gilroy Light" w:hAnsi="Gilroy Light" w:cs="Avenir Book"/>
          <w:sz w:val="20"/>
          <w:szCs w:val="20"/>
        </w:rPr>
        <w:t>'element de</w:t>
      </w:r>
      <w:r w:rsidR="001A64E6" w:rsidRPr="006D6A88">
        <w:rPr>
          <w:rFonts w:ascii="Gilroy Light" w:hAnsi="Gilroy Light" w:cs="Avenir Book"/>
          <w:sz w:val="20"/>
          <w:szCs w:val="20"/>
        </w:rPr>
        <w:t xml:space="preserve"> conteni</w:t>
      </w:r>
      <w:r w:rsidR="001A64E6">
        <w:rPr>
          <w:rFonts w:ascii="Gilroy Light" w:hAnsi="Gilroy Light" w:cs="Avenir Book"/>
          <w:sz w:val="20"/>
          <w:szCs w:val="20"/>
        </w:rPr>
        <w:t>tzació</w:t>
      </w:r>
    </w:p>
    <w:p w14:paraId="07E147FE" w14:textId="36AB4C11" w:rsidR="00A64F89" w:rsidRPr="006D6A88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6D6A88">
        <w:rPr>
          <w:rFonts w:ascii="Gilroy Light" w:hAnsi="Gilroy Light" w:cs="Avenir Book"/>
          <w:sz w:val="20"/>
          <w:szCs w:val="20"/>
        </w:rPr>
        <w:t>Restes enganxifoses a l'exterior</w:t>
      </w:r>
      <w:r w:rsidR="001A64E6" w:rsidRPr="001A64E6">
        <w:rPr>
          <w:rFonts w:ascii="Gilroy Light" w:hAnsi="Gilroy Light" w:cs="Avenir Book"/>
          <w:sz w:val="20"/>
          <w:szCs w:val="20"/>
        </w:rPr>
        <w:t xml:space="preserve"> </w:t>
      </w:r>
      <w:r w:rsidR="001A64E6" w:rsidRPr="006D6A88">
        <w:rPr>
          <w:rFonts w:ascii="Gilroy Light" w:hAnsi="Gilroy Light" w:cs="Avenir Book"/>
          <w:sz w:val="20"/>
          <w:szCs w:val="20"/>
        </w:rPr>
        <w:t>de</w:t>
      </w:r>
      <w:r w:rsidR="001A64E6">
        <w:rPr>
          <w:rFonts w:ascii="Gilroy Light" w:hAnsi="Gilroy Light" w:cs="Avenir Book"/>
          <w:sz w:val="20"/>
          <w:szCs w:val="20"/>
        </w:rPr>
        <w:t xml:space="preserve"> </w:t>
      </w:r>
      <w:r w:rsidR="001A64E6" w:rsidRPr="006D6A88">
        <w:rPr>
          <w:rFonts w:ascii="Gilroy Light" w:hAnsi="Gilroy Light" w:cs="Avenir Book"/>
          <w:sz w:val="20"/>
          <w:szCs w:val="20"/>
        </w:rPr>
        <w:t>l</w:t>
      </w:r>
      <w:r w:rsidR="001A64E6">
        <w:rPr>
          <w:rFonts w:ascii="Gilroy Light" w:hAnsi="Gilroy Light" w:cs="Avenir Book"/>
          <w:sz w:val="20"/>
          <w:szCs w:val="20"/>
        </w:rPr>
        <w:t>'element de</w:t>
      </w:r>
      <w:r w:rsidR="001A64E6" w:rsidRPr="006D6A88">
        <w:rPr>
          <w:rFonts w:ascii="Gilroy Light" w:hAnsi="Gilroy Light" w:cs="Avenir Book"/>
          <w:sz w:val="20"/>
          <w:szCs w:val="20"/>
        </w:rPr>
        <w:t xml:space="preserve"> conteni</w:t>
      </w:r>
      <w:r w:rsidR="001A64E6">
        <w:rPr>
          <w:rFonts w:ascii="Gilroy Light" w:hAnsi="Gilroy Light" w:cs="Avenir Book"/>
          <w:sz w:val="20"/>
          <w:szCs w:val="20"/>
        </w:rPr>
        <w:t>tzació</w:t>
      </w:r>
    </w:p>
    <w:p w14:paraId="6893895A" w14:textId="63A91207" w:rsidR="00A64F89" w:rsidRPr="00A43A8A" w:rsidRDefault="00A64F89" w:rsidP="00A64F89">
      <w:pPr>
        <w:tabs>
          <w:tab w:val="left" w:pos="2712"/>
        </w:tabs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 xml:space="preserve">Un cop realitzades les inspeccions es calcularà quin percentatge </w:t>
      </w:r>
      <w:r w:rsidR="001A64E6">
        <w:rPr>
          <w:rFonts w:ascii="Gilroy Light" w:hAnsi="Gilroy Light" w:cs="Avenir Book"/>
          <w:sz w:val="20"/>
          <w:szCs w:val="20"/>
        </w:rPr>
        <w:t>d'elements de</w:t>
      </w:r>
      <w:r w:rsidR="001A64E6" w:rsidRPr="006D6A88">
        <w:rPr>
          <w:rFonts w:ascii="Gilroy Light" w:hAnsi="Gilroy Light" w:cs="Avenir Book"/>
          <w:sz w:val="20"/>
          <w:szCs w:val="20"/>
        </w:rPr>
        <w:t xml:space="preserve"> conteni</w:t>
      </w:r>
      <w:r w:rsidR="001A64E6">
        <w:rPr>
          <w:rFonts w:ascii="Gilroy Light" w:hAnsi="Gilroy Light" w:cs="Avenir Book"/>
          <w:sz w:val="20"/>
          <w:szCs w:val="20"/>
        </w:rPr>
        <w:t>tzació</w:t>
      </w:r>
      <w:r w:rsidR="001A64E6" w:rsidRPr="00A43A8A">
        <w:rPr>
          <w:rFonts w:ascii="Gilroy Light" w:hAnsi="Gilroy Light" w:cs="Calibri"/>
          <w:sz w:val="20"/>
          <w:szCs w:val="20"/>
        </w:rPr>
        <w:t xml:space="preserve"> </w:t>
      </w:r>
      <w:r w:rsidRPr="00A43A8A">
        <w:rPr>
          <w:rFonts w:ascii="Gilroy Light" w:hAnsi="Gilroy Light" w:cs="Calibri"/>
          <w:sz w:val="20"/>
          <w:szCs w:val="20"/>
        </w:rPr>
        <w:t>inspeccionats present</w:t>
      </w:r>
      <w:r w:rsidR="00953D2F">
        <w:rPr>
          <w:rFonts w:ascii="Gilroy Light" w:hAnsi="Gilroy Light" w:cs="Calibri"/>
          <w:sz w:val="20"/>
          <w:szCs w:val="20"/>
        </w:rPr>
        <w:t>e</w:t>
      </w:r>
      <w:r w:rsidRPr="00A43A8A">
        <w:rPr>
          <w:rFonts w:ascii="Gilroy Light" w:hAnsi="Gilroy Light" w:cs="Calibri"/>
          <w:sz w:val="20"/>
          <w:szCs w:val="20"/>
        </w:rPr>
        <w:t xml:space="preserve">n algun tipus d’incorrecció de neteja, per </w:t>
      </w:r>
      <w:r w:rsidR="001A64E6">
        <w:rPr>
          <w:rFonts w:ascii="Gilroy Light" w:hAnsi="Gilroy Light" w:cs="Calibri"/>
          <w:sz w:val="20"/>
          <w:szCs w:val="20"/>
        </w:rPr>
        <w:t>tipologia</w:t>
      </w:r>
      <w:r w:rsidRPr="00A43A8A">
        <w:rPr>
          <w:rFonts w:ascii="Gilroy Light" w:hAnsi="Gilroy Light" w:cs="Calibri"/>
          <w:sz w:val="20"/>
          <w:szCs w:val="20"/>
        </w:rPr>
        <w:t xml:space="preserve"> (el càlcul es realitzarà sobre el número </w:t>
      </w:r>
      <w:r w:rsidR="001A64E6">
        <w:rPr>
          <w:rFonts w:ascii="Gilroy Light" w:hAnsi="Gilroy Light" w:cs="Avenir Book"/>
          <w:sz w:val="20"/>
          <w:szCs w:val="20"/>
        </w:rPr>
        <w:t>d'elements de</w:t>
      </w:r>
      <w:r w:rsidR="001A64E6" w:rsidRPr="006D6A88">
        <w:rPr>
          <w:rFonts w:ascii="Gilroy Light" w:hAnsi="Gilroy Light" w:cs="Avenir Book"/>
          <w:sz w:val="20"/>
          <w:szCs w:val="20"/>
        </w:rPr>
        <w:t xml:space="preserve"> conteni</w:t>
      </w:r>
      <w:r w:rsidR="001A64E6">
        <w:rPr>
          <w:rFonts w:ascii="Gilroy Light" w:hAnsi="Gilroy Light" w:cs="Avenir Book"/>
          <w:sz w:val="20"/>
          <w:szCs w:val="20"/>
        </w:rPr>
        <w:t>tzació</w:t>
      </w:r>
      <w:r w:rsidR="001A64E6" w:rsidRPr="00A43A8A">
        <w:rPr>
          <w:rFonts w:ascii="Gilroy Light" w:hAnsi="Gilroy Light" w:cs="Calibri"/>
          <w:sz w:val="20"/>
          <w:szCs w:val="20"/>
        </w:rPr>
        <w:t xml:space="preserve"> </w:t>
      </w:r>
      <w:r w:rsidRPr="00A43A8A">
        <w:rPr>
          <w:rFonts w:ascii="Gilroy Light" w:hAnsi="Gilroy Light" w:cs="Calibri"/>
          <w:sz w:val="20"/>
          <w:szCs w:val="20"/>
        </w:rPr>
        <w:t xml:space="preserve">inspeccionats de cada </w:t>
      </w:r>
      <w:r w:rsidR="001A64E6">
        <w:rPr>
          <w:rFonts w:ascii="Gilroy Light" w:hAnsi="Gilroy Light" w:cs="Calibri"/>
          <w:sz w:val="20"/>
          <w:szCs w:val="20"/>
        </w:rPr>
        <w:t>tipologia</w:t>
      </w:r>
      <w:r w:rsidRPr="00A43A8A">
        <w:rPr>
          <w:rFonts w:ascii="Gilroy Light" w:hAnsi="Gilroy Light" w:cs="Calibri"/>
          <w:sz w:val="20"/>
          <w:szCs w:val="20"/>
        </w:rPr>
        <w:t xml:space="preserve">, no els totals). 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495"/>
        <w:gridCol w:w="1843"/>
        <w:gridCol w:w="1275"/>
      </w:tblGrid>
      <w:tr w:rsidR="00A64F89" w:rsidRPr="00A43A8A" w14:paraId="3A0166C0" w14:textId="77777777" w:rsidTr="00C45E3B">
        <w:tc>
          <w:tcPr>
            <w:tcW w:w="5495" w:type="dxa"/>
          </w:tcPr>
          <w:p w14:paraId="7F0936BB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Resultat</w:t>
            </w:r>
          </w:p>
        </w:tc>
        <w:tc>
          <w:tcPr>
            <w:tcW w:w="1843" w:type="dxa"/>
          </w:tcPr>
          <w:p w14:paraId="1F859980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Grau de satisfacció</w:t>
            </w:r>
          </w:p>
        </w:tc>
        <w:tc>
          <w:tcPr>
            <w:tcW w:w="1275" w:type="dxa"/>
          </w:tcPr>
          <w:p w14:paraId="635E76D3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Deducció</w:t>
            </w:r>
          </w:p>
        </w:tc>
      </w:tr>
      <w:tr w:rsidR="00A64F89" w:rsidRPr="00A43A8A" w14:paraId="024F2CA4" w14:textId="77777777" w:rsidTr="00C45E3B">
        <w:tc>
          <w:tcPr>
            <w:tcW w:w="5495" w:type="dxa"/>
          </w:tcPr>
          <w:p w14:paraId="62CFB561" w14:textId="008023D4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 xml:space="preserve">&gt; 30% </w:t>
            </w:r>
            <w:r w:rsidR="001A64E6">
              <w:rPr>
                <w:rFonts w:ascii="Gilroy Light" w:hAnsi="Gilroy Light" w:cs="Avenir Book"/>
                <w:sz w:val="20"/>
                <w:szCs w:val="20"/>
              </w:rPr>
              <w:t>d'elements de</w:t>
            </w:r>
            <w:r w:rsidR="001A64E6" w:rsidRPr="006D6A88">
              <w:rPr>
                <w:rFonts w:ascii="Gilroy Light" w:hAnsi="Gilroy Light" w:cs="Avenir Book"/>
                <w:sz w:val="20"/>
                <w:szCs w:val="20"/>
              </w:rPr>
              <w:t xml:space="preserve"> conteni</w:t>
            </w:r>
            <w:r w:rsidR="001A64E6">
              <w:rPr>
                <w:rFonts w:ascii="Gilroy Light" w:hAnsi="Gilroy Light" w:cs="Avenir Book"/>
                <w:sz w:val="20"/>
                <w:szCs w:val="20"/>
              </w:rPr>
              <w:t>tzació</w:t>
            </w:r>
            <w:r w:rsidR="001A64E6" w:rsidRPr="00A43A8A">
              <w:rPr>
                <w:rFonts w:ascii="Gilroy Light" w:hAnsi="Gilroy Light" w:cs="Calibri"/>
                <w:sz w:val="20"/>
                <w:szCs w:val="20"/>
              </w:rPr>
              <w:t xml:space="preserve"> </w:t>
            </w:r>
            <w:r w:rsidRPr="00A43A8A">
              <w:rPr>
                <w:rFonts w:ascii="Gilroy Light" w:hAnsi="Gilroy Light" w:cs="Calibri"/>
                <w:sz w:val="20"/>
                <w:szCs w:val="20"/>
              </w:rPr>
              <w:t>inspeccionats amb deficiències de neteja</w:t>
            </w:r>
          </w:p>
        </w:tc>
        <w:tc>
          <w:tcPr>
            <w:tcW w:w="1843" w:type="dxa"/>
          </w:tcPr>
          <w:p w14:paraId="556E3E14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No Satisfactori</w:t>
            </w:r>
          </w:p>
        </w:tc>
        <w:tc>
          <w:tcPr>
            <w:tcW w:w="1275" w:type="dxa"/>
          </w:tcPr>
          <w:p w14:paraId="01505811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30%</w:t>
            </w:r>
          </w:p>
        </w:tc>
      </w:tr>
      <w:tr w:rsidR="00A64F89" w:rsidRPr="00A43A8A" w14:paraId="202F49B8" w14:textId="77777777" w:rsidTr="00C45E3B">
        <w:tc>
          <w:tcPr>
            <w:tcW w:w="5495" w:type="dxa"/>
          </w:tcPr>
          <w:p w14:paraId="3270465A" w14:textId="2E7B929B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 xml:space="preserve">&gt; 40% </w:t>
            </w:r>
            <w:r w:rsidR="001A64E6">
              <w:rPr>
                <w:rFonts w:ascii="Gilroy Light" w:hAnsi="Gilroy Light" w:cs="Avenir Book"/>
                <w:sz w:val="20"/>
                <w:szCs w:val="20"/>
              </w:rPr>
              <w:t>d'elements de</w:t>
            </w:r>
            <w:r w:rsidR="001A64E6" w:rsidRPr="006D6A88">
              <w:rPr>
                <w:rFonts w:ascii="Gilroy Light" w:hAnsi="Gilroy Light" w:cs="Avenir Book"/>
                <w:sz w:val="20"/>
                <w:szCs w:val="20"/>
              </w:rPr>
              <w:t xml:space="preserve"> conteni</w:t>
            </w:r>
            <w:r w:rsidR="001A64E6">
              <w:rPr>
                <w:rFonts w:ascii="Gilroy Light" w:hAnsi="Gilroy Light" w:cs="Avenir Book"/>
                <w:sz w:val="20"/>
                <w:szCs w:val="20"/>
              </w:rPr>
              <w:t>tzació</w:t>
            </w:r>
            <w:r w:rsidR="001A64E6" w:rsidRPr="00A43A8A">
              <w:rPr>
                <w:rFonts w:ascii="Gilroy Light" w:hAnsi="Gilroy Light" w:cs="Calibri"/>
                <w:sz w:val="20"/>
                <w:szCs w:val="20"/>
              </w:rPr>
              <w:t xml:space="preserve"> </w:t>
            </w:r>
            <w:r w:rsidRPr="00A43A8A">
              <w:rPr>
                <w:rFonts w:ascii="Gilroy Light" w:hAnsi="Gilroy Light" w:cs="Calibri"/>
                <w:sz w:val="20"/>
                <w:szCs w:val="20"/>
              </w:rPr>
              <w:t>inspeccionats amb deficiències de neteja</w:t>
            </w:r>
          </w:p>
        </w:tc>
        <w:tc>
          <w:tcPr>
            <w:tcW w:w="1843" w:type="dxa"/>
          </w:tcPr>
          <w:p w14:paraId="1847C792" w14:textId="77777777" w:rsidR="00A64F89" w:rsidRPr="00A43A8A" w:rsidRDefault="00A64F8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 w:rsidRPr="00A43A8A">
              <w:rPr>
                <w:rFonts w:ascii="Gilroy Light" w:hAnsi="Gilroy Light" w:cs="Calibri"/>
                <w:sz w:val="20"/>
                <w:szCs w:val="20"/>
              </w:rPr>
              <w:t>Gens Satisfactori</w:t>
            </w:r>
          </w:p>
        </w:tc>
        <w:tc>
          <w:tcPr>
            <w:tcW w:w="1275" w:type="dxa"/>
          </w:tcPr>
          <w:p w14:paraId="14BFE134" w14:textId="6D606928" w:rsidR="00A64F89" w:rsidRPr="00A43A8A" w:rsidRDefault="00F623F9" w:rsidP="00C45E3B">
            <w:pPr>
              <w:tabs>
                <w:tab w:val="left" w:pos="2712"/>
              </w:tabs>
              <w:spacing w:before="60" w:after="60"/>
              <w:rPr>
                <w:rFonts w:ascii="Gilroy Light" w:hAnsi="Gilroy Light" w:cs="Calibri"/>
                <w:sz w:val="20"/>
                <w:szCs w:val="20"/>
              </w:rPr>
            </w:pPr>
            <w:r>
              <w:rPr>
                <w:rFonts w:ascii="Gilroy Light" w:hAnsi="Gilroy Light" w:cs="Calibri"/>
                <w:sz w:val="20"/>
                <w:szCs w:val="20"/>
              </w:rPr>
              <w:t>6</w:t>
            </w:r>
            <w:r w:rsidR="00A64F89" w:rsidRPr="00A43A8A">
              <w:rPr>
                <w:rFonts w:ascii="Gilroy Light" w:hAnsi="Gilroy Light" w:cs="Calibri"/>
                <w:sz w:val="20"/>
                <w:szCs w:val="20"/>
              </w:rPr>
              <w:t>0%</w:t>
            </w:r>
          </w:p>
        </w:tc>
      </w:tr>
    </w:tbl>
    <w:p w14:paraId="512BCE0E" w14:textId="77777777" w:rsidR="00A64F89" w:rsidRPr="00A43A8A" w:rsidRDefault="00A64F89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>Les deduccions s’aplicaran sobre els imports mensuals que a la oferta es destinin a la neteja dels contenidors.</w:t>
      </w:r>
    </w:p>
    <w:p w14:paraId="79C9D9C6" w14:textId="77777777" w:rsidR="00A64F89" w:rsidRPr="00A43A8A" w:rsidRDefault="00A64F89" w:rsidP="00953D2F">
      <w:pPr>
        <w:spacing w:after="0"/>
        <w:jc w:val="both"/>
        <w:rPr>
          <w:rFonts w:ascii="Gilroy Light" w:hAnsi="Gilroy Light" w:cs="Calibri"/>
          <w:sz w:val="20"/>
          <w:szCs w:val="20"/>
        </w:rPr>
      </w:pPr>
    </w:p>
    <w:p w14:paraId="6B8AD34D" w14:textId="7B2A7143" w:rsidR="00A64F89" w:rsidRPr="00A64F89" w:rsidRDefault="00A64F89" w:rsidP="00A64F89">
      <w:pPr>
        <w:tabs>
          <w:tab w:val="left" w:pos="2712"/>
        </w:tabs>
        <w:spacing w:after="0" w:line="240" w:lineRule="auto"/>
        <w:ind w:left="360" w:hanging="360"/>
        <w:outlineLvl w:val="1"/>
        <w:rPr>
          <w:rFonts w:ascii="Gilroy Medium" w:hAnsi="Gilroy Medium" w:cs="Calibri"/>
          <w:sz w:val="20"/>
          <w:szCs w:val="20"/>
        </w:rPr>
      </w:pPr>
      <w:bookmarkStart w:id="4" w:name="_Toc62050175"/>
      <w:bookmarkStart w:id="5" w:name="_Toc63787122"/>
      <w:r w:rsidRPr="00A64F89">
        <w:rPr>
          <w:rFonts w:ascii="Gilroy Medium" w:hAnsi="Gilroy Medium" w:cs="Calibri"/>
          <w:sz w:val="20"/>
          <w:szCs w:val="20"/>
        </w:rPr>
        <w:t>2.3. NETEJA VIÀRIA</w:t>
      </w:r>
      <w:bookmarkEnd w:id="4"/>
      <w:bookmarkEnd w:id="5"/>
      <w:r w:rsidR="001A64E6">
        <w:rPr>
          <w:rFonts w:ascii="Gilroy Medium" w:hAnsi="Gilroy Medium" w:cs="Calibri"/>
          <w:sz w:val="20"/>
          <w:szCs w:val="20"/>
        </w:rPr>
        <w:t xml:space="preserve"> I DE MERCATS</w:t>
      </w:r>
    </w:p>
    <w:p w14:paraId="6BB45860" w14:textId="4BAE1A84" w:rsidR="003F7CE1" w:rsidRDefault="00A64F89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>Deficiències en la prestació del servei de neteja dels carrers (amb una mostra d’un mínim de 50 metres de longitud)</w:t>
      </w:r>
      <w:r w:rsidR="001A64E6">
        <w:rPr>
          <w:rFonts w:ascii="Gilroy Light" w:hAnsi="Gilroy Light" w:cs="Calibri"/>
          <w:sz w:val="20"/>
          <w:szCs w:val="20"/>
        </w:rPr>
        <w:t xml:space="preserve"> i dels mercats</w:t>
      </w:r>
      <w:r w:rsidRPr="00A43A8A">
        <w:rPr>
          <w:rFonts w:ascii="Gilroy Light" w:hAnsi="Gilroy Light" w:cs="Calibri"/>
          <w:sz w:val="20"/>
          <w:szCs w:val="20"/>
        </w:rPr>
        <w:t>. Es consideren deficiències aspectes com</w:t>
      </w:r>
      <w:r w:rsidR="003F7CE1">
        <w:rPr>
          <w:rFonts w:ascii="Gilroy Light" w:hAnsi="Gilroy Light" w:cs="Calibri"/>
          <w:sz w:val="20"/>
          <w:szCs w:val="20"/>
        </w:rPr>
        <w:t>:</w:t>
      </w:r>
    </w:p>
    <w:p w14:paraId="79D18DE1" w14:textId="2A664319" w:rsidR="001A64E6" w:rsidRDefault="001A64E6" w:rsidP="003F7CE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Neteja viària:</w:t>
      </w:r>
    </w:p>
    <w:p w14:paraId="79270B57" w14:textId="07379165" w:rsidR="003F7CE1" w:rsidRDefault="003F7CE1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A</w:t>
      </w:r>
      <w:r w:rsidR="00A64F89" w:rsidRPr="003F7CE1">
        <w:rPr>
          <w:rFonts w:ascii="Gilroy Light" w:hAnsi="Gilroy Light" w:cs="Avenir Book"/>
          <w:sz w:val="20"/>
          <w:szCs w:val="20"/>
        </w:rPr>
        <w:t>cumulació de residus als carrers (en diferents graus)</w:t>
      </w:r>
    </w:p>
    <w:p w14:paraId="5887487B" w14:textId="3D7AEE86" w:rsidR="003F7CE1" w:rsidRDefault="003F7CE1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P</w:t>
      </w:r>
      <w:r w:rsidR="00A64F89" w:rsidRPr="003F7CE1">
        <w:rPr>
          <w:rFonts w:ascii="Gilroy Light" w:hAnsi="Gilroy Light" w:cs="Avenir Book"/>
          <w:sz w:val="20"/>
          <w:szCs w:val="20"/>
        </w:rPr>
        <w:t>resència d’excrements</w:t>
      </w:r>
    </w:p>
    <w:p w14:paraId="17FFD88E" w14:textId="6FE5D3AC" w:rsidR="003F7CE1" w:rsidRDefault="003F7CE1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P</w:t>
      </w:r>
      <w:r w:rsidR="00A64F89" w:rsidRPr="003F7CE1">
        <w:rPr>
          <w:rFonts w:ascii="Gilroy Light" w:hAnsi="Gilroy Light" w:cs="Avenir Book"/>
          <w:sz w:val="20"/>
          <w:szCs w:val="20"/>
        </w:rPr>
        <w:t>apereres no buidades</w:t>
      </w:r>
    </w:p>
    <w:p w14:paraId="47D9238A" w14:textId="1150F6E0" w:rsidR="00A64F89" w:rsidRDefault="003F7CE1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Altres aspectes</w:t>
      </w:r>
    </w:p>
    <w:p w14:paraId="2CFC28BF" w14:textId="24375CED" w:rsidR="001A64E6" w:rsidRDefault="001A64E6" w:rsidP="001A64E6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Neteja dels mercats:</w:t>
      </w:r>
    </w:p>
    <w:p w14:paraId="2A35339A" w14:textId="3028EC40" w:rsidR="001A64E6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lastRenderedPageBreak/>
        <w:t>Acumulació de residus als interiors dels mercats</w:t>
      </w:r>
    </w:p>
    <w:p w14:paraId="2840CF88" w14:textId="33EC8AB5" w:rsidR="001A64E6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Parets i portes esquitxades</w:t>
      </w:r>
    </w:p>
    <w:p w14:paraId="298AA0E5" w14:textId="3404965B" w:rsidR="001A64E6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Acumulació de residus als molls i sota molls</w:t>
      </w:r>
    </w:p>
    <w:p w14:paraId="044F3518" w14:textId="4259162E" w:rsidR="001A64E6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Acumulació de residus i residus incrustats a les ubicacions de contenidors</w:t>
      </w:r>
    </w:p>
    <w:p w14:paraId="0C8C8E30" w14:textId="03D64163" w:rsidR="001A64E6" w:rsidRPr="001A64E6" w:rsidRDefault="001A64E6" w:rsidP="001A64E6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Altres aspectes</w:t>
      </w:r>
    </w:p>
    <w:p w14:paraId="703534A1" w14:textId="768ACD1D" w:rsidR="00A64F89" w:rsidRPr="00A43A8A" w:rsidRDefault="001A64E6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>
        <w:rPr>
          <w:rFonts w:ascii="Gilroy Light" w:hAnsi="Gilroy Light" w:cs="Calibri"/>
          <w:sz w:val="20"/>
          <w:szCs w:val="20"/>
        </w:rPr>
        <w:t>A</w:t>
      </w:r>
      <w:r w:rsidR="00A64F89" w:rsidRPr="00A43A8A">
        <w:rPr>
          <w:rFonts w:ascii="Gilroy Light" w:hAnsi="Gilroy Light" w:cs="Calibri"/>
          <w:sz w:val="20"/>
          <w:szCs w:val="20"/>
        </w:rPr>
        <w:t xml:space="preserve"> cada tipologia de residu se li assignarà un coeficient, en línia amb l’impacte del residu en la ciutadania (</w:t>
      </w:r>
      <w:r>
        <w:rPr>
          <w:rFonts w:ascii="Gilroy Light" w:hAnsi="Gilroy Light" w:cs="Calibri"/>
          <w:sz w:val="20"/>
          <w:szCs w:val="20"/>
        </w:rPr>
        <w:t xml:space="preserve">en el cas de la neteja viària </w:t>
      </w:r>
      <w:r w:rsidR="00A64F89" w:rsidRPr="00A43A8A">
        <w:rPr>
          <w:rFonts w:ascii="Gilroy Light" w:hAnsi="Gilroy Light" w:cs="Calibri"/>
          <w:sz w:val="20"/>
          <w:szCs w:val="20"/>
        </w:rPr>
        <w:t>un excrement disposarà d’un coeficient superior a una burilla). A la inspecció es comptarà el número de residus de cada tipologia, que en multiplicar pel coeficient corresponent donarà el coeficient total de residus del tram inspeccionat.</w:t>
      </w:r>
    </w:p>
    <w:p w14:paraId="4430F9FA" w14:textId="6D02753E" w:rsidR="00A64F89" w:rsidRPr="00A43A8A" w:rsidRDefault="00A64F89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 xml:space="preserve">El coeficient total de residus del tram inspeccionat es dividirà entre la superfície inspeccionada (longitud </w:t>
      </w:r>
      <w:r w:rsidR="00953D2F">
        <w:rPr>
          <w:rFonts w:ascii="Gilroy Light" w:hAnsi="Gilroy Light" w:cs="Calibri"/>
          <w:sz w:val="20"/>
          <w:szCs w:val="20"/>
        </w:rPr>
        <w:t>x</w:t>
      </w:r>
      <w:r w:rsidRPr="00A43A8A">
        <w:rPr>
          <w:rFonts w:ascii="Gilroy Light" w:hAnsi="Gilroy Light" w:cs="Calibri"/>
          <w:sz w:val="20"/>
          <w:szCs w:val="20"/>
        </w:rPr>
        <w:t xml:space="preserve"> amplada) per obtenir l’índex de neteja del tram inspeccionat. </w:t>
      </w:r>
    </w:p>
    <w:p w14:paraId="25F2BE78" w14:textId="77777777" w:rsidR="00A64F89" w:rsidRDefault="00A64F89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>Si es considera necessari, l’índex obtingut pot ser modulat per aspectes com el vent, el tipus de sòl, acumulacions de fulles, presència de cotxes, etc.</w:t>
      </w:r>
    </w:p>
    <w:p w14:paraId="2ADE5886" w14:textId="24015D33" w:rsidR="003F7CE1" w:rsidRPr="00A43A8A" w:rsidRDefault="003F7CE1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>
        <w:rPr>
          <w:rFonts w:ascii="Gilroy Light" w:hAnsi="Gilroy Light" w:cs="Calibri"/>
          <w:sz w:val="20"/>
          <w:szCs w:val="20"/>
        </w:rPr>
        <w:t xml:space="preserve">A més a més, s'hi podrà incloure altres aspectes com el nombre de papereres no buidades de la zona inspeccionada. </w:t>
      </w:r>
    </w:p>
    <w:p w14:paraId="6C81C27B" w14:textId="3DE725E5" w:rsidR="00A64F89" w:rsidRPr="00A43A8A" w:rsidRDefault="00A64F89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>Per obtenir el grau de satisfacció de la inspecció es definiran uns rangs d</w:t>
      </w:r>
      <w:r w:rsidR="00CF3BBB">
        <w:rPr>
          <w:rFonts w:ascii="Gilroy Light" w:hAnsi="Gilroy Light" w:cs="Calibri"/>
          <w:sz w:val="20"/>
          <w:szCs w:val="20"/>
        </w:rPr>
        <w:t>'</w:t>
      </w:r>
      <w:r w:rsidRPr="00A43A8A">
        <w:rPr>
          <w:rFonts w:ascii="Gilroy Light" w:hAnsi="Gilroy Light" w:cs="Calibri"/>
          <w:sz w:val="20"/>
          <w:szCs w:val="20"/>
        </w:rPr>
        <w:t xml:space="preserve">índex per </w:t>
      </w:r>
      <w:r w:rsidR="00CF3BBB">
        <w:rPr>
          <w:rFonts w:ascii="Gilroy Light" w:hAnsi="Gilroy Light" w:cs="Calibri"/>
          <w:sz w:val="20"/>
          <w:szCs w:val="20"/>
        </w:rPr>
        <w:t xml:space="preserve">a </w:t>
      </w:r>
      <w:r w:rsidRPr="00A43A8A">
        <w:rPr>
          <w:rFonts w:ascii="Gilroy Light" w:hAnsi="Gilroy Light" w:cs="Calibri"/>
          <w:sz w:val="20"/>
          <w:szCs w:val="20"/>
        </w:rPr>
        <w:t>cada grau de satisfacció.</w:t>
      </w:r>
    </w:p>
    <w:p w14:paraId="490ECE10" w14:textId="77777777" w:rsidR="00A64F89" w:rsidRDefault="00A64F89" w:rsidP="00A64F89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A43A8A">
        <w:rPr>
          <w:rFonts w:ascii="Gilroy Light" w:hAnsi="Gilroy Light" w:cs="Calibri"/>
          <w:sz w:val="20"/>
          <w:szCs w:val="20"/>
        </w:rPr>
        <w:t>Les deduccions s’aplicaran sobre el preu unitari del servei inspeccionat</w:t>
      </w:r>
      <w:r>
        <w:rPr>
          <w:rFonts w:ascii="Gilroy Light" w:hAnsi="Gilroy Light" w:cs="Calibri"/>
          <w:sz w:val="20"/>
          <w:szCs w:val="20"/>
        </w:rPr>
        <w:t>:</w:t>
      </w:r>
    </w:p>
    <w:p w14:paraId="58040C82" w14:textId="28BE3F69" w:rsidR="00A64F89" w:rsidRPr="00A43A8A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A43A8A">
        <w:rPr>
          <w:rFonts w:ascii="Gilroy Light" w:hAnsi="Gilroy Light" w:cs="Avenir Book"/>
          <w:sz w:val="20"/>
          <w:szCs w:val="20"/>
        </w:rPr>
        <w:t>No Satisfactori:</w:t>
      </w:r>
      <w:r w:rsidR="00953D2F" w:rsidRPr="00A43A8A">
        <w:rPr>
          <w:rFonts w:ascii="Gilroy Light" w:hAnsi="Gilroy Light" w:cs="Avenir Book"/>
          <w:sz w:val="20"/>
          <w:szCs w:val="20"/>
        </w:rPr>
        <w:t xml:space="preserve"> </w:t>
      </w:r>
      <w:r w:rsidRPr="00A43A8A">
        <w:rPr>
          <w:rFonts w:ascii="Gilroy Light" w:hAnsi="Gilroy Light" w:cs="Avenir Book"/>
          <w:sz w:val="20"/>
          <w:szCs w:val="20"/>
        </w:rPr>
        <w:t>Deducció del 30% Preu Unitari Servei.</w:t>
      </w:r>
    </w:p>
    <w:p w14:paraId="2E60C91E" w14:textId="257E2E41" w:rsidR="00A64F89" w:rsidRDefault="00A64F89" w:rsidP="00A64F8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A43A8A">
        <w:rPr>
          <w:rFonts w:ascii="Gilroy Light" w:hAnsi="Gilroy Light" w:cs="Avenir Book"/>
          <w:sz w:val="20"/>
          <w:szCs w:val="20"/>
        </w:rPr>
        <w:t>Gens Satisfactori:</w:t>
      </w:r>
      <w:r w:rsidR="00953D2F">
        <w:rPr>
          <w:rFonts w:ascii="Gilroy Light" w:hAnsi="Gilroy Light" w:cs="Avenir Book"/>
          <w:sz w:val="20"/>
          <w:szCs w:val="20"/>
        </w:rPr>
        <w:t xml:space="preserve"> </w:t>
      </w:r>
      <w:r w:rsidRPr="00A43A8A">
        <w:rPr>
          <w:rFonts w:ascii="Gilroy Light" w:hAnsi="Gilroy Light" w:cs="Avenir Book"/>
          <w:sz w:val="20"/>
          <w:szCs w:val="20"/>
        </w:rPr>
        <w:t>Deducció del 60% Preu Unitari Servei.</w:t>
      </w:r>
    </w:p>
    <w:p w14:paraId="1E80A24F" w14:textId="77777777" w:rsidR="00CA0EA1" w:rsidRDefault="00CA0EA1" w:rsidP="00CA0EA1">
      <w:pPr>
        <w:pStyle w:val="Normal11"/>
        <w:spacing w:after="0"/>
        <w:rPr>
          <w:rFonts w:ascii="Gilroy Light" w:eastAsia="Times" w:hAnsi="Gilroy Light" w:cstheme="majorHAnsi"/>
          <w:sz w:val="20"/>
          <w:szCs w:val="20"/>
          <w:lang w:eastAsia="es-ES"/>
        </w:rPr>
      </w:pPr>
    </w:p>
    <w:p w14:paraId="47DF6AC5" w14:textId="52287E12" w:rsidR="00CA0EA1" w:rsidRPr="005D3982" w:rsidRDefault="00CA0EA1" w:rsidP="00CA0EA1">
      <w:pPr>
        <w:tabs>
          <w:tab w:val="left" w:pos="2712"/>
        </w:tabs>
        <w:spacing w:after="0" w:line="240" w:lineRule="auto"/>
        <w:ind w:left="360" w:hanging="360"/>
        <w:outlineLvl w:val="1"/>
        <w:rPr>
          <w:rFonts w:ascii="Gilroy Medium" w:hAnsi="Gilroy Medium" w:cs="Calibri"/>
          <w:sz w:val="20"/>
          <w:szCs w:val="20"/>
        </w:rPr>
      </w:pPr>
      <w:r w:rsidRPr="005D3982">
        <w:rPr>
          <w:rFonts w:ascii="Gilroy Medium" w:hAnsi="Gilroy Medium" w:cs="Calibri"/>
          <w:sz w:val="20"/>
          <w:szCs w:val="20"/>
        </w:rPr>
        <w:t>2.5. ESTAT DE LES INSTAL·LACIONS DEL SERVEI</w:t>
      </w:r>
    </w:p>
    <w:p w14:paraId="610FD8A3" w14:textId="04461A04" w:rsidR="00CA0EA1" w:rsidRPr="005D3982" w:rsidRDefault="00CA0EA1" w:rsidP="00CA0EA1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5D3982">
        <w:rPr>
          <w:rFonts w:ascii="Gilroy Light" w:hAnsi="Gilroy Light" w:cs="Calibri"/>
          <w:sz w:val="20"/>
          <w:szCs w:val="20"/>
        </w:rPr>
        <w:t xml:space="preserve">Deficiències en </w:t>
      </w:r>
      <w:r w:rsidR="00545011" w:rsidRPr="005D3982">
        <w:rPr>
          <w:rFonts w:ascii="Gilroy Light" w:hAnsi="Gilroy Light" w:cs="Calibri"/>
          <w:sz w:val="20"/>
          <w:szCs w:val="20"/>
        </w:rPr>
        <w:t>les instal·lacions</w:t>
      </w:r>
      <w:r w:rsidRPr="005D3982">
        <w:rPr>
          <w:rFonts w:ascii="Gilroy Light" w:hAnsi="Gilroy Light" w:cs="Calibri"/>
          <w:sz w:val="20"/>
          <w:szCs w:val="20"/>
        </w:rPr>
        <w:t xml:space="preserve"> dels serveis. Es consideren deficiències aspectes com:</w:t>
      </w:r>
    </w:p>
    <w:p w14:paraId="09AAA5BC" w14:textId="1E657831" w:rsidR="00545011" w:rsidRPr="005D3982" w:rsidRDefault="00545011" w:rsidP="0054501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Estat de la neteja de les instal·lacions</w:t>
      </w:r>
      <w:r w:rsidR="00653D38" w:rsidRPr="005D3982">
        <w:rPr>
          <w:rFonts w:ascii="Gilroy Light" w:hAnsi="Gilroy Light" w:cs="Avenir Book"/>
          <w:sz w:val="20"/>
          <w:szCs w:val="20"/>
        </w:rPr>
        <w:t>:</w:t>
      </w:r>
    </w:p>
    <w:p w14:paraId="011B9EF2" w14:textId="77777777" w:rsidR="00653D38" w:rsidRPr="005D3982" w:rsidRDefault="00653D38" w:rsidP="00653D38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Zona de rentat dels vehicles</w:t>
      </w:r>
    </w:p>
    <w:p w14:paraId="1BAD487D" w14:textId="77777777" w:rsidR="00653D38" w:rsidRPr="005D3982" w:rsidRDefault="00653D38" w:rsidP="00653D38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Zona de taller</w:t>
      </w:r>
    </w:p>
    <w:p w14:paraId="01C45866" w14:textId="0C4635FB" w:rsidR="00653D38" w:rsidRPr="005D3982" w:rsidRDefault="00653D38" w:rsidP="00653D38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Zona d’apartament de vehicles</w:t>
      </w:r>
    </w:p>
    <w:p w14:paraId="7ADAEC0B" w14:textId="3CFB58F5" w:rsidR="00653D38" w:rsidRPr="005D3982" w:rsidRDefault="00653D38" w:rsidP="00653D38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Vestidors</w:t>
      </w:r>
    </w:p>
    <w:p w14:paraId="42AA395D" w14:textId="2A2A5317" w:rsidR="00653D38" w:rsidRPr="005D3982" w:rsidRDefault="00653D38" w:rsidP="00653D38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Espais comuns</w:t>
      </w:r>
    </w:p>
    <w:p w14:paraId="72A4D9FC" w14:textId="337D78FA" w:rsidR="00545011" w:rsidRPr="005D3982" w:rsidRDefault="00545011" w:rsidP="0054501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Estat del manteniment de les instal·lacions:</w:t>
      </w:r>
    </w:p>
    <w:p w14:paraId="0AD013ED" w14:textId="42C07AD0" w:rsidR="00545011" w:rsidRPr="005D3982" w:rsidRDefault="00545011" w:rsidP="00545011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Instal·lació d'aigua</w:t>
      </w:r>
    </w:p>
    <w:p w14:paraId="0B23E670" w14:textId="10B853C1" w:rsidR="00545011" w:rsidRPr="005D3982" w:rsidRDefault="00545011" w:rsidP="00545011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Instal·lació elèctrica</w:t>
      </w:r>
    </w:p>
    <w:p w14:paraId="4BE788FD" w14:textId="0B887CC1" w:rsidR="00545011" w:rsidRPr="005D3982" w:rsidRDefault="00545011" w:rsidP="00545011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Zona de rentat dels vehicles</w:t>
      </w:r>
    </w:p>
    <w:p w14:paraId="677B1C59" w14:textId="4B09259C" w:rsidR="00545011" w:rsidRPr="005D3982" w:rsidRDefault="00653D38" w:rsidP="00653D38">
      <w:pPr>
        <w:pStyle w:val="Prrafodelista"/>
        <w:numPr>
          <w:ilvl w:val="1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Zona d'aparcament de vehicles i de càrrega dels vehicles elèctrics</w:t>
      </w:r>
    </w:p>
    <w:p w14:paraId="688B6E3B" w14:textId="77777777" w:rsidR="00CA0EA1" w:rsidRPr="005D3982" w:rsidRDefault="00CA0EA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Altres aspectes</w:t>
      </w:r>
    </w:p>
    <w:p w14:paraId="4810B955" w14:textId="77777777" w:rsidR="00CA0EA1" w:rsidRPr="005D3982" w:rsidRDefault="00CA0EA1" w:rsidP="00CA0EA1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5D3982">
        <w:rPr>
          <w:rFonts w:ascii="Gilroy Light" w:hAnsi="Gilroy Light" w:cs="Calibri"/>
          <w:sz w:val="20"/>
          <w:szCs w:val="20"/>
        </w:rPr>
        <w:t>Per obtenir el grau de satisfacció de la inspecció es definiran uns rangs d'índex per a cada grau de satisfacció.</w:t>
      </w:r>
    </w:p>
    <w:p w14:paraId="44A2BAEF" w14:textId="77777777" w:rsidR="00CA0EA1" w:rsidRPr="005D3982" w:rsidRDefault="00CA0EA1" w:rsidP="00CA0EA1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5D3982">
        <w:rPr>
          <w:rFonts w:ascii="Gilroy Light" w:hAnsi="Gilroy Light" w:cs="Calibri"/>
          <w:sz w:val="20"/>
          <w:szCs w:val="20"/>
        </w:rPr>
        <w:t>Les deduccions s’aplicaran sobre el preu unitari del servei inspeccionat:</w:t>
      </w:r>
    </w:p>
    <w:p w14:paraId="31EA407C" w14:textId="77777777" w:rsidR="00CA0EA1" w:rsidRPr="005D3982" w:rsidRDefault="00CA0EA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No Satisfactori: Deducció del 30% Preu Unitari Servei.</w:t>
      </w:r>
    </w:p>
    <w:p w14:paraId="02B8B0D7" w14:textId="77777777" w:rsidR="00CA0EA1" w:rsidRPr="005D3982" w:rsidRDefault="00CA0EA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Gens Satisfactori: Deducció del 60% Preu Unitari Servei.</w:t>
      </w:r>
    </w:p>
    <w:p w14:paraId="0029C2B6" w14:textId="73DB0CA4" w:rsidR="00CA0EA1" w:rsidRDefault="005D3982" w:rsidP="00CA0EA1">
      <w:pPr>
        <w:pStyle w:val="Normal11"/>
        <w:spacing w:after="0"/>
        <w:rPr>
          <w:rFonts w:ascii="Gilroy Light" w:eastAsia="Times" w:hAnsi="Gilroy Light" w:cstheme="majorHAnsi"/>
          <w:sz w:val="20"/>
          <w:szCs w:val="20"/>
          <w:lang w:eastAsia="es-ES"/>
        </w:rPr>
      </w:pPr>
      <w:r>
        <w:rPr>
          <w:rFonts w:ascii="Gilroy Light" w:eastAsia="Times" w:hAnsi="Gilroy Light" w:cstheme="majorHAnsi"/>
          <w:sz w:val="20"/>
          <w:szCs w:val="20"/>
          <w:lang w:eastAsia="es-ES"/>
        </w:rPr>
        <w:t xml:space="preserve">La freqüència de la inspecció de l'estat de les instal·lacions del servei podrà ser anual, tot i que </w:t>
      </w:r>
      <w:r w:rsidRPr="0052464A">
        <w:rPr>
          <w:rFonts w:ascii="Gilroy Light" w:hAnsi="Gilroy Light" w:cs="Calibri"/>
          <w:sz w:val="20"/>
          <w:szCs w:val="20"/>
        </w:rPr>
        <w:t xml:space="preserve">serà la </w:t>
      </w:r>
      <w:r>
        <w:rPr>
          <w:rFonts w:ascii="Gilroy Light" w:hAnsi="Gilroy Light" w:cs="Calibri"/>
          <w:sz w:val="20"/>
          <w:szCs w:val="20"/>
        </w:rPr>
        <w:t xml:space="preserve">que acabi </w:t>
      </w:r>
      <w:r w:rsidRPr="0052464A">
        <w:rPr>
          <w:rFonts w:ascii="Gilroy Light" w:hAnsi="Gilroy Light" w:cs="Calibri"/>
          <w:sz w:val="20"/>
          <w:szCs w:val="20"/>
        </w:rPr>
        <w:t>determina</w:t>
      </w:r>
      <w:r>
        <w:rPr>
          <w:rFonts w:ascii="Gilroy Light" w:hAnsi="Gilroy Light" w:cs="Calibri"/>
          <w:sz w:val="20"/>
          <w:szCs w:val="20"/>
        </w:rPr>
        <w:t xml:space="preserve">nt </w:t>
      </w:r>
      <w:r w:rsidR="001A64E6">
        <w:rPr>
          <w:rFonts w:ascii="Gilroy Light" w:hAnsi="Gilroy Light" w:cs="Calibri"/>
          <w:sz w:val="20"/>
          <w:szCs w:val="20"/>
        </w:rPr>
        <w:t>Mercabarna</w:t>
      </w:r>
      <w:r>
        <w:rPr>
          <w:rFonts w:ascii="Gilroy Light" w:hAnsi="Gilroy Light" w:cs="Calibri"/>
          <w:sz w:val="20"/>
          <w:szCs w:val="20"/>
        </w:rPr>
        <w:t>.</w:t>
      </w:r>
    </w:p>
    <w:p w14:paraId="4D9E5E98" w14:textId="77777777" w:rsidR="005D3982" w:rsidRPr="005D3982" w:rsidRDefault="005D3982" w:rsidP="00CA0EA1">
      <w:pPr>
        <w:pStyle w:val="Normal11"/>
        <w:spacing w:after="0"/>
        <w:rPr>
          <w:rFonts w:ascii="Gilroy Light" w:eastAsia="Times" w:hAnsi="Gilroy Light" w:cstheme="majorHAnsi"/>
          <w:sz w:val="20"/>
          <w:szCs w:val="20"/>
          <w:lang w:eastAsia="es-ES"/>
        </w:rPr>
      </w:pPr>
    </w:p>
    <w:p w14:paraId="5D1F74F1" w14:textId="24F233F0" w:rsidR="00CA0EA1" w:rsidRPr="005D3982" w:rsidRDefault="00CA0EA1" w:rsidP="00CA0EA1">
      <w:pPr>
        <w:tabs>
          <w:tab w:val="left" w:pos="2712"/>
        </w:tabs>
        <w:spacing w:after="0" w:line="240" w:lineRule="auto"/>
        <w:ind w:left="360" w:hanging="360"/>
        <w:outlineLvl w:val="1"/>
        <w:rPr>
          <w:rFonts w:ascii="Gilroy Medium" w:hAnsi="Gilroy Medium" w:cs="Calibri"/>
          <w:sz w:val="20"/>
          <w:szCs w:val="20"/>
        </w:rPr>
      </w:pPr>
      <w:r w:rsidRPr="005D3982">
        <w:rPr>
          <w:rFonts w:ascii="Gilroy Medium" w:hAnsi="Gilroy Medium" w:cs="Calibri"/>
          <w:sz w:val="20"/>
          <w:szCs w:val="20"/>
        </w:rPr>
        <w:lastRenderedPageBreak/>
        <w:t xml:space="preserve">2.6. ESTAT DELS </w:t>
      </w:r>
      <w:r w:rsidR="00545011" w:rsidRPr="005D3982">
        <w:rPr>
          <w:rFonts w:ascii="Gilroy Medium" w:hAnsi="Gilroy Medium" w:cs="Calibri"/>
          <w:sz w:val="20"/>
          <w:szCs w:val="20"/>
        </w:rPr>
        <w:t xml:space="preserve">VEHICLES I </w:t>
      </w:r>
      <w:r w:rsidRPr="005D3982">
        <w:rPr>
          <w:rFonts w:ascii="Gilroy Medium" w:hAnsi="Gilroy Medium" w:cs="Calibri"/>
          <w:sz w:val="20"/>
          <w:szCs w:val="20"/>
        </w:rPr>
        <w:t>EQUIPS DEL SERVEI</w:t>
      </w:r>
    </w:p>
    <w:p w14:paraId="1AD61D91" w14:textId="4E7BEFDD" w:rsidR="00CA0EA1" w:rsidRPr="005D3982" w:rsidRDefault="00CA0EA1" w:rsidP="00CA0EA1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5D3982">
        <w:rPr>
          <w:rFonts w:ascii="Gilroy Light" w:hAnsi="Gilroy Light" w:cs="Calibri"/>
          <w:sz w:val="20"/>
          <w:szCs w:val="20"/>
        </w:rPr>
        <w:t xml:space="preserve">Deficiències en </w:t>
      </w:r>
      <w:r w:rsidR="00545011" w:rsidRPr="005D3982">
        <w:rPr>
          <w:rFonts w:ascii="Gilroy Light" w:hAnsi="Gilroy Light" w:cs="Calibri"/>
          <w:sz w:val="20"/>
          <w:szCs w:val="20"/>
        </w:rPr>
        <w:t>l'estat dels vehicles i equips del servei</w:t>
      </w:r>
      <w:r w:rsidRPr="005D3982">
        <w:rPr>
          <w:rFonts w:ascii="Gilroy Light" w:hAnsi="Gilroy Light" w:cs="Calibri"/>
          <w:sz w:val="20"/>
          <w:szCs w:val="20"/>
        </w:rPr>
        <w:t>. Es consideren deficiències aspectes com:</w:t>
      </w:r>
    </w:p>
    <w:p w14:paraId="233907A3" w14:textId="51D70249" w:rsidR="00CA0EA1" w:rsidRPr="005D3982" w:rsidRDefault="0054501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Estat de la neteja dels vehicles</w:t>
      </w:r>
    </w:p>
    <w:p w14:paraId="6A1C470B" w14:textId="0B5A3378" w:rsidR="00545011" w:rsidRPr="005D3982" w:rsidRDefault="0054501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Estat del manteniment dels vehicles</w:t>
      </w:r>
    </w:p>
    <w:p w14:paraId="5DE6C863" w14:textId="604DA754" w:rsidR="00CA0EA1" w:rsidRPr="005D3982" w:rsidRDefault="00CA0EA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 xml:space="preserve">Estat </w:t>
      </w:r>
      <w:r w:rsidR="00545011" w:rsidRPr="005D3982">
        <w:rPr>
          <w:rFonts w:ascii="Gilroy Light" w:hAnsi="Gilroy Light" w:cs="Avenir Book"/>
          <w:sz w:val="20"/>
          <w:szCs w:val="20"/>
        </w:rPr>
        <w:t xml:space="preserve">de la </w:t>
      </w:r>
      <w:r w:rsidR="00AC5C7E" w:rsidRPr="005D3982">
        <w:rPr>
          <w:rFonts w:ascii="Gilroy Light" w:hAnsi="Gilroy Light" w:cs="Avenir Book"/>
          <w:sz w:val="20"/>
          <w:szCs w:val="20"/>
        </w:rPr>
        <w:t>retolació</w:t>
      </w:r>
      <w:r w:rsidR="00545011" w:rsidRPr="005D3982">
        <w:rPr>
          <w:rFonts w:ascii="Gilroy Light" w:hAnsi="Gilroy Light" w:cs="Avenir Book"/>
          <w:sz w:val="20"/>
          <w:szCs w:val="20"/>
        </w:rPr>
        <w:t xml:space="preserve"> dels vehicles</w:t>
      </w:r>
    </w:p>
    <w:p w14:paraId="79A26570" w14:textId="545EF549" w:rsidR="00CA0EA1" w:rsidRDefault="0054501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Estat de la pintura dels vehicles</w:t>
      </w:r>
    </w:p>
    <w:p w14:paraId="1637E42B" w14:textId="774E25B8" w:rsidR="00CA0C02" w:rsidRDefault="00CA0C02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Nivell sonor dels vehicles en funcionament</w:t>
      </w:r>
    </w:p>
    <w:p w14:paraId="76E5768E" w14:textId="2F182AB6" w:rsidR="00CA0C02" w:rsidRPr="005D3982" w:rsidRDefault="00CA0C02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>
        <w:rPr>
          <w:rFonts w:ascii="Gilroy Light" w:hAnsi="Gilroy Light" w:cs="Avenir Book"/>
          <w:sz w:val="20"/>
          <w:szCs w:val="20"/>
        </w:rPr>
        <w:t>Emissions dels vehicles en funcionament</w:t>
      </w:r>
    </w:p>
    <w:p w14:paraId="1FDFDBB8" w14:textId="77777777" w:rsidR="00CA0EA1" w:rsidRPr="005D3982" w:rsidRDefault="00CA0EA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Altres aspectes</w:t>
      </w:r>
    </w:p>
    <w:p w14:paraId="69FCE786" w14:textId="77777777" w:rsidR="00CA0EA1" w:rsidRPr="005D3982" w:rsidRDefault="00CA0EA1" w:rsidP="00CA0EA1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5D3982">
        <w:rPr>
          <w:rFonts w:ascii="Gilroy Light" w:hAnsi="Gilroy Light" w:cs="Calibri"/>
          <w:sz w:val="20"/>
          <w:szCs w:val="20"/>
        </w:rPr>
        <w:t>Per obtenir el grau de satisfacció de la inspecció es definiran uns rangs d'índex per a cada grau de satisfacció.</w:t>
      </w:r>
    </w:p>
    <w:p w14:paraId="264AFD09" w14:textId="77777777" w:rsidR="00CA0EA1" w:rsidRPr="005D3982" w:rsidRDefault="00CA0EA1" w:rsidP="00CA0EA1">
      <w:pPr>
        <w:spacing w:before="120"/>
        <w:jc w:val="both"/>
        <w:rPr>
          <w:rFonts w:ascii="Gilroy Light" w:hAnsi="Gilroy Light" w:cs="Calibri"/>
          <w:sz w:val="20"/>
          <w:szCs w:val="20"/>
        </w:rPr>
      </w:pPr>
      <w:r w:rsidRPr="005D3982">
        <w:rPr>
          <w:rFonts w:ascii="Gilroy Light" w:hAnsi="Gilroy Light" w:cs="Calibri"/>
          <w:sz w:val="20"/>
          <w:szCs w:val="20"/>
        </w:rPr>
        <w:t>Les deduccions s’aplicaran sobre el preu unitari del servei inspeccionat:</w:t>
      </w:r>
    </w:p>
    <w:p w14:paraId="25DA17B1" w14:textId="77777777" w:rsidR="00CA0EA1" w:rsidRPr="005D3982" w:rsidRDefault="00CA0EA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No Satisfactori: Deducció del 30% Preu Unitari Servei.</w:t>
      </w:r>
    </w:p>
    <w:p w14:paraId="3ACB9779" w14:textId="77777777" w:rsidR="00CA0EA1" w:rsidRDefault="00CA0EA1" w:rsidP="00CA0EA1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  <w:r w:rsidRPr="005D3982">
        <w:rPr>
          <w:rFonts w:ascii="Gilroy Light" w:hAnsi="Gilroy Light" w:cs="Avenir Book"/>
          <w:sz w:val="20"/>
          <w:szCs w:val="20"/>
        </w:rPr>
        <w:t>Gens Satisfactori: Deducció del 60% Preu Unitari Servei.</w:t>
      </w:r>
    </w:p>
    <w:p w14:paraId="33C13912" w14:textId="240F5A62" w:rsidR="005D3982" w:rsidRDefault="005D3982" w:rsidP="005D3982">
      <w:pPr>
        <w:pStyle w:val="Normal11"/>
        <w:spacing w:after="0"/>
        <w:rPr>
          <w:rFonts w:ascii="Gilroy Light" w:eastAsia="Times" w:hAnsi="Gilroy Light" w:cstheme="majorHAnsi"/>
          <w:sz w:val="20"/>
          <w:szCs w:val="20"/>
          <w:lang w:eastAsia="es-ES"/>
        </w:rPr>
      </w:pPr>
      <w:r>
        <w:rPr>
          <w:rFonts w:ascii="Gilroy Light" w:eastAsia="Times" w:hAnsi="Gilroy Light" w:cstheme="majorHAnsi"/>
          <w:sz w:val="20"/>
          <w:szCs w:val="20"/>
          <w:lang w:eastAsia="es-ES"/>
        </w:rPr>
        <w:t xml:space="preserve">La freqüència de la inspecció de l'estat dels vehicles i equips del servei podrà ser anual, tot i que </w:t>
      </w:r>
      <w:r w:rsidRPr="0052464A">
        <w:rPr>
          <w:rFonts w:ascii="Gilroy Light" w:hAnsi="Gilroy Light" w:cs="Calibri"/>
          <w:sz w:val="20"/>
          <w:szCs w:val="20"/>
        </w:rPr>
        <w:t xml:space="preserve">serà la </w:t>
      </w:r>
      <w:r>
        <w:rPr>
          <w:rFonts w:ascii="Gilroy Light" w:hAnsi="Gilroy Light" w:cs="Calibri"/>
          <w:sz w:val="20"/>
          <w:szCs w:val="20"/>
        </w:rPr>
        <w:t xml:space="preserve">que </w:t>
      </w:r>
      <w:r w:rsidR="001A64E6">
        <w:rPr>
          <w:rFonts w:ascii="Gilroy Light" w:hAnsi="Gilroy Light" w:cs="Calibri"/>
          <w:sz w:val="20"/>
          <w:szCs w:val="20"/>
        </w:rPr>
        <w:t xml:space="preserve">acabi </w:t>
      </w:r>
      <w:r w:rsidR="001A64E6" w:rsidRPr="0052464A">
        <w:rPr>
          <w:rFonts w:ascii="Gilroy Light" w:hAnsi="Gilroy Light" w:cs="Calibri"/>
          <w:sz w:val="20"/>
          <w:szCs w:val="20"/>
        </w:rPr>
        <w:t>determina</w:t>
      </w:r>
      <w:r w:rsidR="001A64E6">
        <w:rPr>
          <w:rFonts w:ascii="Gilroy Light" w:hAnsi="Gilroy Light" w:cs="Calibri"/>
          <w:sz w:val="20"/>
          <w:szCs w:val="20"/>
        </w:rPr>
        <w:t>nt Mercabarna.</w:t>
      </w:r>
    </w:p>
    <w:p w14:paraId="1E0B1488" w14:textId="77777777" w:rsidR="005D3982" w:rsidRPr="005D3982" w:rsidRDefault="005D3982" w:rsidP="005D3982">
      <w:pPr>
        <w:spacing w:line="276" w:lineRule="auto"/>
        <w:jc w:val="both"/>
        <w:rPr>
          <w:rFonts w:ascii="Gilroy Light" w:hAnsi="Gilroy Light" w:cs="Avenir Book"/>
          <w:sz w:val="20"/>
          <w:szCs w:val="20"/>
        </w:rPr>
      </w:pPr>
    </w:p>
    <w:p w14:paraId="4C5CB19B" w14:textId="77777777" w:rsidR="00CA0EA1" w:rsidRPr="00434A5E" w:rsidRDefault="00CA0EA1" w:rsidP="00A64F89">
      <w:pPr>
        <w:pStyle w:val="Normal11"/>
        <w:spacing w:after="0"/>
        <w:rPr>
          <w:rFonts w:ascii="Gilroy Light" w:eastAsia="Times" w:hAnsi="Gilroy Light" w:cstheme="majorHAnsi"/>
          <w:sz w:val="20"/>
          <w:szCs w:val="20"/>
          <w:lang w:eastAsia="es-ES"/>
        </w:rPr>
      </w:pPr>
    </w:p>
    <w:sectPr w:rsidR="00CA0EA1" w:rsidRPr="00434A5E" w:rsidSect="00480C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42A49" w14:textId="77777777" w:rsidR="00B477F0" w:rsidRDefault="00B477F0" w:rsidP="00FD245F">
      <w:pPr>
        <w:spacing w:after="0" w:line="240" w:lineRule="auto"/>
      </w:pPr>
      <w:r>
        <w:separator/>
      </w:r>
    </w:p>
  </w:endnote>
  <w:endnote w:type="continuationSeparator" w:id="0">
    <w:p w14:paraId="3067CBA4" w14:textId="77777777" w:rsidR="00B477F0" w:rsidRDefault="00B477F0" w:rsidP="00FD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ilroy Medium">
    <w:altName w:val="Calibri"/>
    <w:panose1 w:val="00000600000000000000"/>
    <w:charset w:val="4D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venir Book">
    <w:altName w:val="﷽﷽﷽﷽﷽﷽﷽﷽T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Gilroy Bold">
    <w:panose1 w:val="00000800000000000000"/>
    <w:charset w:val="4D"/>
    <w:family w:val="auto"/>
    <w:pitch w:val="variable"/>
    <w:sig w:usb0="00000207" w:usb1="00000000" w:usb2="00000000" w:usb3="00000000" w:csb0="00000097" w:csb1="00000000"/>
  </w:font>
  <w:font w:name="Gilroy Light">
    <w:altName w:val="Gilroy"/>
    <w:panose1 w:val="00000400000000000000"/>
    <w:charset w:val="4D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8056371"/>
      <w:docPartObj>
        <w:docPartGallery w:val="Page Numbers (Bottom of Page)"/>
        <w:docPartUnique/>
      </w:docPartObj>
    </w:sdtPr>
    <w:sdtContent>
      <w:p w14:paraId="2B5621C2" w14:textId="023AEAF5" w:rsidR="000D5E3E" w:rsidRDefault="000D5E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4C" w:rsidRPr="002B554C">
          <w:rPr>
            <w:noProof/>
            <w:lang w:val="es-ES"/>
          </w:rPr>
          <w:t>3</w:t>
        </w:r>
        <w:r>
          <w:fldChar w:fldCharType="end"/>
        </w:r>
      </w:p>
    </w:sdtContent>
  </w:sdt>
  <w:p w14:paraId="2259EB91" w14:textId="477BE715" w:rsidR="000D5E3E" w:rsidRDefault="00427C57" w:rsidP="00427C57">
    <w:pPr>
      <w:pStyle w:val="Piedepgina"/>
      <w:tabs>
        <w:tab w:val="clear" w:pos="4252"/>
        <w:tab w:val="clear" w:pos="8504"/>
        <w:tab w:val="left" w:pos="10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5DD5" w14:textId="77777777" w:rsidR="00B477F0" w:rsidRDefault="00B477F0" w:rsidP="00FD245F">
      <w:pPr>
        <w:spacing w:after="0" w:line="240" w:lineRule="auto"/>
      </w:pPr>
      <w:r>
        <w:separator/>
      </w:r>
    </w:p>
  </w:footnote>
  <w:footnote w:type="continuationSeparator" w:id="0">
    <w:p w14:paraId="2BD88467" w14:textId="77777777" w:rsidR="00B477F0" w:rsidRDefault="00B477F0" w:rsidP="00FD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E665" w14:textId="77777777" w:rsidR="00427C57" w:rsidRPr="007B22DE" w:rsidRDefault="00427C57" w:rsidP="00427C57">
    <w:pPr>
      <w:pStyle w:val="Normal2"/>
      <w:spacing w:after="0"/>
      <w:jc w:val="right"/>
      <w:rPr>
        <w:rFonts w:asciiTheme="majorHAnsi" w:hAnsiTheme="majorHAnsi"/>
        <w:i/>
        <w:sz w:val="18"/>
        <w:szCs w:val="18"/>
        <w:lang w:val="ca-ES"/>
      </w:rPr>
    </w:pPr>
  </w:p>
  <w:p w14:paraId="4C64F143" w14:textId="580B3C7F" w:rsidR="000D5E3E" w:rsidRPr="00193F99" w:rsidRDefault="000D5E3E" w:rsidP="00844806">
    <w:pPr>
      <w:pStyle w:val="Encabezado"/>
      <w:jc w:val="right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3FC"/>
    <w:multiLevelType w:val="hybridMultilevel"/>
    <w:tmpl w:val="33EA1942"/>
    <w:lvl w:ilvl="0" w:tplc="8ED2B5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322137"/>
    <w:multiLevelType w:val="hybridMultilevel"/>
    <w:tmpl w:val="625E2C2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715C7"/>
    <w:multiLevelType w:val="hybridMultilevel"/>
    <w:tmpl w:val="54941FEE"/>
    <w:lvl w:ilvl="0" w:tplc="442EE7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624"/>
    <w:multiLevelType w:val="hybridMultilevel"/>
    <w:tmpl w:val="E8383268"/>
    <w:lvl w:ilvl="0" w:tplc="445263BE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5EC9"/>
    <w:multiLevelType w:val="multilevel"/>
    <w:tmpl w:val="2AF0AAD0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2670BE"/>
    <w:multiLevelType w:val="hybridMultilevel"/>
    <w:tmpl w:val="0A7A2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B5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6C9F"/>
    <w:multiLevelType w:val="hybridMultilevel"/>
    <w:tmpl w:val="B924320E"/>
    <w:lvl w:ilvl="0" w:tplc="8ED2B5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FA56A2"/>
    <w:multiLevelType w:val="hybridMultilevel"/>
    <w:tmpl w:val="8F124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903"/>
    <w:multiLevelType w:val="multilevel"/>
    <w:tmpl w:val="FBD48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57C4EAE"/>
    <w:multiLevelType w:val="hybridMultilevel"/>
    <w:tmpl w:val="7C265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E18E4"/>
    <w:multiLevelType w:val="hybridMultilevel"/>
    <w:tmpl w:val="5462CB80"/>
    <w:lvl w:ilvl="0" w:tplc="8ED2B5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97501"/>
    <w:multiLevelType w:val="hybridMultilevel"/>
    <w:tmpl w:val="141235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97AF8"/>
    <w:multiLevelType w:val="hybridMultilevel"/>
    <w:tmpl w:val="B71AE634"/>
    <w:lvl w:ilvl="0" w:tplc="445263BE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E1963"/>
    <w:multiLevelType w:val="hybridMultilevel"/>
    <w:tmpl w:val="38E03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1244"/>
    <w:multiLevelType w:val="multilevel"/>
    <w:tmpl w:val="24346C76"/>
    <w:lvl w:ilvl="0">
      <w:start w:val="1"/>
      <w:numFmt w:val="decimal"/>
      <w:pStyle w:val="Prrafodelista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C23048"/>
    <w:multiLevelType w:val="hybridMultilevel"/>
    <w:tmpl w:val="8E200556"/>
    <w:lvl w:ilvl="0" w:tplc="264C7EB6">
      <w:start w:val="1"/>
      <w:numFmt w:val="bullet"/>
      <w:pStyle w:val="Punt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380765"/>
    <w:multiLevelType w:val="hybridMultilevel"/>
    <w:tmpl w:val="99CEE3CE"/>
    <w:lvl w:ilvl="0" w:tplc="8ED2B5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87FF0"/>
    <w:multiLevelType w:val="hybridMultilevel"/>
    <w:tmpl w:val="D8023E52"/>
    <w:lvl w:ilvl="0" w:tplc="D2129294">
      <w:start w:val="1"/>
      <w:numFmt w:val="decimal"/>
      <w:lvlText w:val="1.%1."/>
      <w:lvlJc w:val="left"/>
      <w:pPr>
        <w:ind w:left="1440" w:hanging="360"/>
      </w:pPr>
      <w:rPr>
        <w:rFonts w:ascii="Gilroy Medium" w:hAnsi="Gilroy Medium" w:hint="default"/>
        <w:b w:val="0"/>
        <w:bCs/>
        <w:i w:val="0"/>
        <w:sz w:val="20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03006"/>
    <w:multiLevelType w:val="hybridMultilevel"/>
    <w:tmpl w:val="05EED7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2129294">
      <w:start w:val="1"/>
      <w:numFmt w:val="decimal"/>
      <w:lvlText w:val="1.%2."/>
      <w:lvlJc w:val="left"/>
      <w:pPr>
        <w:ind w:left="1440" w:hanging="360"/>
      </w:pPr>
      <w:rPr>
        <w:rFonts w:ascii="Gilroy Medium" w:hAnsi="Gilroy Medium" w:hint="default"/>
        <w:b w:val="0"/>
        <w:bCs/>
        <w:i w:val="0"/>
        <w:sz w:val="20"/>
        <w:szCs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419B7"/>
    <w:multiLevelType w:val="hybridMultilevel"/>
    <w:tmpl w:val="6E68128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FA65625"/>
    <w:multiLevelType w:val="hybridMultilevel"/>
    <w:tmpl w:val="41B2C1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863576">
    <w:abstractNumId w:val="14"/>
  </w:num>
  <w:num w:numId="2" w16cid:durableId="786117896">
    <w:abstractNumId w:val="20"/>
  </w:num>
  <w:num w:numId="3" w16cid:durableId="1304578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585066">
    <w:abstractNumId w:val="16"/>
  </w:num>
  <w:num w:numId="5" w16cid:durableId="570845255">
    <w:abstractNumId w:val="15"/>
  </w:num>
  <w:num w:numId="6" w16cid:durableId="789325027">
    <w:abstractNumId w:val="5"/>
  </w:num>
  <w:num w:numId="7" w16cid:durableId="1541699685">
    <w:abstractNumId w:val="0"/>
  </w:num>
  <w:num w:numId="8" w16cid:durableId="2041464905">
    <w:abstractNumId w:val="6"/>
  </w:num>
  <w:num w:numId="9" w16cid:durableId="1169637225">
    <w:abstractNumId w:val="14"/>
  </w:num>
  <w:num w:numId="10" w16cid:durableId="516164433">
    <w:abstractNumId w:val="14"/>
  </w:num>
  <w:num w:numId="11" w16cid:durableId="867639655">
    <w:abstractNumId w:val="14"/>
  </w:num>
  <w:num w:numId="12" w16cid:durableId="1178083162">
    <w:abstractNumId w:val="14"/>
  </w:num>
  <w:num w:numId="13" w16cid:durableId="1058238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870645">
    <w:abstractNumId w:val="14"/>
  </w:num>
  <w:num w:numId="15" w16cid:durableId="2107260758">
    <w:abstractNumId w:val="14"/>
  </w:num>
  <w:num w:numId="16" w16cid:durableId="558976597">
    <w:abstractNumId w:val="14"/>
  </w:num>
  <w:num w:numId="17" w16cid:durableId="735056692">
    <w:abstractNumId w:val="10"/>
  </w:num>
  <w:num w:numId="18" w16cid:durableId="1179275275">
    <w:abstractNumId w:val="2"/>
  </w:num>
  <w:num w:numId="19" w16cid:durableId="648481139">
    <w:abstractNumId w:val="14"/>
  </w:num>
  <w:num w:numId="20" w16cid:durableId="1198276536">
    <w:abstractNumId w:val="14"/>
  </w:num>
  <w:num w:numId="21" w16cid:durableId="886649603">
    <w:abstractNumId w:val="14"/>
  </w:num>
  <w:num w:numId="22" w16cid:durableId="1238058905">
    <w:abstractNumId w:val="14"/>
  </w:num>
  <w:num w:numId="23" w16cid:durableId="1815948075">
    <w:abstractNumId w:val="14"/>
  </w:num>
  <w:num w:numId="24" w16cid:durableId="1226650215">
    <w:abstractNumId w:val="14"/>
  </w:num>
  <w:num w:numId="25" w16cid:durableId="125704996">
    <w:abstractNumId w:val="14"/>
  </w:num>
  <w:num w:numId="26" w16cid:durableId="115684362">
    <w:abstractNumId w:val="14"/>
  </w:num>
  <w:num w:numId="27" w16cid:durableId="2000647828">
    <w:abstractNumId w:val="14"/>
  </w:num>
  <w:num w:numId="28" w16cid:durableId="1866019988">
    <w:abstractNumId w:val="14"/>
  </w:num>
  <w:num w:numId="29" w16cid:durableId="1738746377">
    <w:abstractNumId w:val="14"/>
  </w:num>
  <w:num w:numId="30" w16cid:durableId="838350742">
    <w:abstractNumId w:val="1"/>
  </w:num>
  <w:num w:numId="31" w16cid:durableId="537815316">
    <w:abstractNumId w:val="4"/>
  </w:num>
  <w:num w:numId="32" w16cid:durableId="639967726">
    <w:abstractNumId w:val="11"/>
  </w:num>
  <w:num w:numId="33" w16cid:durableId="1332903934">
    <w:abstractNumId w:val="13"/>
  </w:num>
  <w:num w:numId="34" w16cid:durableId="8526436">
    <w:abstractNumId w:val="3"/>
  </w:num>
  <w:num w:numId="35" w16cid:durableId="1695761218">
    <w:abstractNumId w:val="14"/>
  </w:num>
  <w:num w:numId="36" w16cid:durableId="2053114228">
    <w:abstractNumId w:val="14"/>
  </w:num>
  <w:num w:numId="37" w16cid:durableId="462621884">
    <w:abstractNumId w:val="7"/>
  </w:num>
  <w:num w:numId="38" w16cid:durableId="1755586910">
    <w:abstractNumId w:val="9"/>
  </w:num>
  <w:num w:numId="39" w16cid:durableId="1435980904">
    <w:abstractNumId w:val="12"/>
  </w:num>
  <w:num w:numId="40" w16cid:durableId="163324896">
    <w:abstractNumId w:val="18"/>
  </w:num>
  <w:num w:numId="41" w16cid:durableId="210699655">
    <w:abstractNumId w:val="14"/>
  </w:num>
  <w:num w:numId="42" w16cid:durableId="1010334776">
    <w:abstractNumId w:val="19"/>
  </w:num>
  <w:num w:numId="43" w16cid:durableId="1868760420">
    <w:abstractNumId w:val="17"/>
  </w:num>
  <w:num w:numId="44" w16cid:durableId="1903828217">
    <w:abstractNumId w:val="8"/>
  </w:num>
  <w:num w:numId="45" w16cid:durableId="1361861350">
    <w:abstractNumId w:val="14"/>
  </w:num>
  <w:num w:numId="46" w16cid:durableId="459223566">
    <w:abstractNumId w:val="14"/>
  </w:num>
  <w:num w:numId="47" w16cid:durableId="698237132">
    <w:abstractNumId w:val="14"/>
  </w:num>
  <w:num w:numId="48" w16cid:durableId="91249586">
    <w:abstractNumId w:val="14"/>
  </w:num>
  <w:num w:numId="49" w16cid:durableId="136447455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0A"/>
    <w:rsid w:val="00001E54"/>
    <w:rsid w:val="00003D71"/>
    <w:rsid w:val="00006BAD"/>
    <w:rsid w:val="00007608"/>
    <w:rsid w:val="00010E2C"/>
    <w:rsid w:val="00011622"/>
    <w:rsid w:val="00013A35"/>
    <w:rsid w:val="00014C96"/>
    <w:rsid w:val="0001511A"/>
    <w:rsid w:val="000166C6"/>
    <w:rsid w:val="00020572"/>
    <w:rsid w:val="000224A0"/>
    <w:rsid w:val="000243B9"/>
    <w:rsid w:val="00026306"/>
    <w:rsid w:val="00027B2F"/>
    <w:rsid w:val="00033923"/>
    <w:rsid w:val="000343EC"/>
    <w:rsid w:val="000369F5"/>
    <w:rsid w:val="00040DB7"/>
    <w:rsid w:val="00041CCB"/>
    <w:rsid w:val="00050921"/>
    <w:rsid w:val="000517A7"/>
    <w:rsid w:val="00051E9F"/>
    <w:rsid w:val="00056F60"/>
    <w:rsid w:val="000604E8"/>
    <w:rsid w:val="000655E1"/>
    <w:rsid w:val="00067DD9"/>
    <w:rsid w:val="000739D9"/>
    <w:rsid w:val="00074683"/>
    <w:rsid w:val="0007567E"/>
    <w:rsid w:val="00075FD1"/>
    <w:rsid w:val="00081036"/>
    <w:rsid w:val="00081190"/>
    <w:rsid w:val="00083CE9"/>
    <w:rsid w:val="00087A94"/>
    <w:rsid w:val="00092414"/>
    <w:rsid w:val="00093D90"/>
    <w:rsid w:val="00094DBA"/>
    <w:rsid w:val="00096969"/>
    <w:rsid w:val="000A1FC6"/>
    <w:rsid w:val="000A6C59"/>
    <w:rsid w:val="000B1584"/>
    <w:rsid w:val="000B16A7"/>
    <w:rsid w:val="000B36A7"/>
    <w:rsid w:val="000C2ACE"/>
    <w:rsid w:val="000C404B"/>
    <w:rsid w:val="000C4C74"/>
    <w:rsid w:val="000C57B4"/>
    <w:rsid w:val="000D14C7"/>
    <w:rsid w:val="000D1743"/>
    <w:rsid w:val="000D1DF6"/>
    <w:rsid w:val="000D2FED"/>
    <w:rsid w:val="000D4BD5"/>
    <w:rsid w:val="000D5E3E"/>
    <w:rsid w:val="000D7995"/>
    <w:rsid w:val="000E2C12"/>
    <w:rsid w:val="000E68FE"/>
    <w:rsid w:val="000F2FFA"/>
    <w:rsid w:val="000F48F4"/>
    <w:rsid w:val="000F596D"/>
    <w:rsid w:val="000F5DD4"/>
    <w:rsid w:val="000F5EDE"/>
    <w:rsid w:val="000F7788"/>
    <w:rsid w:val="0010512E"/>
    <w:rsid w:val="00106138"/>
    <w:rsid w:val="001068E6"/>
    <w:rsid w:val="00112A58"/>
    <w:rsid w:val="00112D36"/>
    <w:rsid w:val="0011591D"/>
    <w:rsid w:val="00115A37"/>
    <w:rsid w:val="00117DD5"/>
    <w:rsid w:val="00120520"/>
    <w:rsid w:val="00120AB8"/>
    <w:rsid w:val="001212AA"/>
    <w:rsid w:val="00121A77"/>
    <w:rsid w:val="001220BE"/>
    <w:rsid w:val="0012379C"/>
    <w:rsid w:val="00125016"/>
    <w:rsid w:val="00125573"/>
    <w:rsid w:val="0013401B"/>
    <w:rsid w:val="001356E1"/>
    <w:rsid w:val="001360FA"/>
    <w:rsid w:val="0014674E"/>
    <w:rsid w:val="00147961"/>
    <w:rsid w:val="00147B6B"/>
    <w:rsid w:val="001533E7"/>
    <w:rsid w:val="00153456"/>
    <w:rsid w:val="00155109"/>
    <w:rsid w:val="0015761A"/>
    <w:rsid w:val="001578BF"/>
    <w:rsid w:val="0016165C"/>
    <w:rsid w:val="00162AEC"/>
    <w:rsid w:val="00162D55"/>
    <w:rsid w:val="00165E4A"/>
    <w:rsid w:val="00167FB8"/>
    <w:rsid w:val="0017129B"/>
    <w:rsid w:val="00172009"/>
    <w:rsid w:val="00172BCC"/>
    <w:rsid w:val="001746A8"/>
    <w:rsid w:val="0017534C"/>
    <w:rsid w:val="00176BA0"/>
    <w:rsid w:val="001823E3"/>
    <w:rsid w:val="00183431"/>
    <w:rsid w:val="001875A1"/>
    <w:rsid w:val="00193DA6"/>
    <w:rsid w:val="00193F99"/>
    <w:rsid w:val="0019482D"/>
    <w:rsid w:val="00196B92"/>
    <w:rsid w:val="001A1359"/>
    <w:rsid w:val="001A4B4A"/>
    <w:rsid w:val="001A64E6"/>
    <w:rsid w:val="001A77D7"/>
    <w:rsid w:val="001B0EAF"/>
    <w:rsid w:val="001B6EB3"/>
    <w:rsid w:val="001C05A1"/>
    <w:rsid w:val="001C254B"/>
    <w:rsid w:val="001C7272"/>
    <w:rsid w:val="001D39AC"/>
    <w:rsid w:val="001D5E8A"/>
    <w:rsid w:val="001E1576"/>
    <w:rsid w:val="001E3265"/>
    <w:rsid w:val="001E3898"/>
    <w:rsid w:val="001E46B9"/>
    <w:rsid w:val="001E58F3"/>
    <w:rsid w:val="001F09B5"/>
    <w:rsid w:val="001F0CC4"/>
    <w:rsid w:val="001F3445"/>
    <w:rsid w:val="001F630E"/>
    <w:rsid w:val="001F6853"/>
    <w:rsid w:val="002033EE"/>
    <w:rsid w:val="00204682"/>
    <w:rsid w:val="0020603F"/>
    <w:rsid w:val="00215613"/>
    <w:rsid w:val="00216170"/>
    <w:rsid w:val="00216EA3"/>
    <w:rsid w:val="00221D6B"/>
    <w:rsid w:val="0022248C"/>
    <w:rsid w:val="00225204"/>
    <w:rsid w:val="002268BB"/>
    <w:rsid w:val="002345FF"/>
    <w:rsid w:val="00235FEB"/>
    <w:rsid w:val="00244DE8"/>
    <w:rsid w:val="00245BFC"/>
    <w:rsid w:val="00247E2B"/>
    <w:rsid w:val="0025046B"/>
    <w:rsid w:val="002531FD"/>
    <w:rsid w:val="0025533E"/>
    <w:rsid w:val="002560C3"/>
    <w:rsid w:val="00263228"/>
    <w:rsid w:val="0026422A"/>
    <w:rsid w:val="00265E3C"/>
    <w:rsid w:val="002660B8"/>
    <w:rsid w:val="00266439"/>
    <w:rsid w:val="00270CA9"/>
    <w:rsid w:val="00274C3F"/>
    <w:rsid w:val="00286A62"/>
    <w:rsid w:val="00287815"/>
    <w:rsid w:val="00294536"/>
    <w:rsid w:val="002A32F7"/>
    <w:rsid w:val="002A4DAC"/>
    <w:rsid w:val="002B047C"/>
    <w:rsid w:val="002B0689"/>
    <w:rsid w:val="002B4702"/>
    <w:rsid w:val="002B554C"/>
    <w:rsid w:val="002B71AD"/>
    <w:rsid w:val="002C0BE4"/>
    <w:rsid w:val="002D0466"/>
    <w:rsid w:val="002D1213"/>
    <w:rsid w:val="002D2EA9"/>
    <w:rsid w:val="002D428C"/>
    <w:rsid w:val="002D53DF"/>
    <w:rsid w:val="002D759F"/>
    <w:rsid w:val="002E185C"/>
    <w:rsid w:val="002E78D3"/>
    <w:rsid w:val="0030132B"/>
    <w:rsid w:val="00306967"/>
    <w:rsid w:val="00310FCA"/>
    <w:rsid w:val="0031145B"/>
    <w:rsid w:val="0031740F"/>
    <w:rsid w:val="00317852"/>
    <w:rsid w:val="0032552C"/>
    <w:rsid w:val="003330B3"/>
    <w:rsid w:val="003347BF"/>
    <w:rsid w:val="00337F25"/>
    <w:rsid w:val="003400F0"/>
    <w:rsid w:val="00345696"/>
    <w:rsid w:val="00351592"/>
    <w:rsid w:val="00352611"/>
    <w:rsid w:val="00357C43"/>
    <w:rsid w:val="00361179"/>
    <w:rsid w:val="00364FB5"/>
    <w:rsid w:val="00365117"/>
    <w:rsid w:val="00367950"/>
    <w:rsid w:val="003707C2"/>
    <w:rsid w:val="0037338A"/>
    <w:rsid w:val="003735E0"/>
    <w:rsid w:val="00373B71"/>
    <w:rsid w:val="003743BA"/>
    <w:rsid w:val="00374878"/>
    <w:rsid w:val="00376853"/>
    <w:rsid w:val="00376E6D"/>
    <w:rsid w:val="003771DD"/>
    <w:rsid w:val="003857E7"/>
    <w:rsid w:val="0038601A"/>
    <w:rsid w:val="00387505"/>
    <w:rsid w:val="0039131C"/>
    <w:rsid w:val="003917C0"/>
    <w:rsid w:val="003947EC"/>
    <w:rsid w:val="0039514D"/>
    <w:rsid w:val="00395928"/>
    <w:rsid w:val="00396717"/>
    <w:rsid w:val="003A2F3D"/>
    <w:rsid w:val="003A5900"/>
    <w:rsid w:val="003A7AC1"/>
    <w:rsid w:val="003B365F"/>
    <w:rsid w:val="003B3DF1"/>
    <w:rsid w:val="003B6746"/>
    <w:rsid w:val="003B7629"/>
    <w:rsid w:val="003C3645"/>
    <w:rsid w:val="003C63AF"/>
    <w:rsid w:val="003C7AE0"/>
    <w:rsid w:val="003D049B"/>
    <w:rsid w:val="003D21BC"/>
    <w:rsid w:val="003E0C58"/>
    <w:rsid w:val="003E35B9"/>
    <w:rsid w:val="003E38B8"/>
    <w:rsid w:val="003E61DE"/>
    <w:rsid w:val="003F0656"/>
    <w:rsid w:val="003F0ADB"/>
    <w:rsid w:val="003F11E6"/>
    <w:rsid w:val="003F3AC3"/>
    <w:rsid w:val="003F3ED6"/>
    <w:rsid w:val="003F5A4D"/>
    <w:rsid w:val="003F7CE1"/>
    <w:rsid w:val="0040065B"/>
    <w:rsid w:val="00400F01"/>
    <w:rsid w:val="00402273"/>
    <w:rsid w:val="0040312A"/>
    <w:rsid w:val="004050E7"/>
    <w:rsid w:val="00405984"/>
    <w:rsid w:val="00410567"/>
    <w:rsid w:val="00411E51"/>
    <w:rsid w:val="00415364"/>
    <w:rsid w:val="004229B9"/>
    <w:rsid w:val="00423C48"/>
    <w:rsid w:val="0042668C"/>
    <w:rsid w:val="00427C57"/>
    <w:rsid w:val="0043319A"/>
    <w:rsid w:val="00434A5E"/>
    <w:rsid w:val="00434F75"/>
    <w:rsid w:val="00440517"/>
    <w:rsid w:val="00451891"/>
    <w:rsid w:val="00453434"/>
    <w:rsid w:val="00456BE1"/>
    <w:rsid w:val="00457C58"/>
    <w:rsid w:val="0046056C"/>
    <w:rsid w:val="004613ED"/>
    <w:rsid w:val="00466CC8"/>
    <w:rsid w:val="00473101"/>
    <w:rsid w:val="004743B7"/>
    <w:rsid w:val="0047505B"/>
    <w:rsid w:val="00476776"/>
    <w:rsid w:val="004767AC"/>
    <w:rsid w:val="00476F69"/>
    <w:rsid w:val="00480C5D"/>
    <w:rsid w:val="00482217"/>
    <w:rsid w:val="00482B42"/>
    <w:rsid w:val="00483075"/>
    <w:rsid w:val="00487D82"/>
    <w:rsid w:val="0049181D"/>
    <w:rsid w:val="004929A9"/>
    <w:rsid w:val="004A022B"/>
    <w:rsid w:val="004A1905"/>
    <w:rsid w:val="004A2564"/>
    <w:rsid w:val="004A5793"/>
    <w:rsid w:val="004A61E0"/>
    <w:rsid w:val="004A6A11"/>
    <w:rsid w:val="004B59B1"/>
    <w:rsid w:val="004B5BA7"/>
    <w:rsid w:val="004B706C"/>
    <w:rsid w:val="004B7B47"/>
    <w:rsid w:val="004C02C5"/>
    <w:rsid w:val="004C1BE2"/>
    <w:rsid w:val="004C4B35"/>
    <w:rsid w:val="004C58AA"/>
    <w:rsid w:val="004C5A57"/>
    <w:rsid w:val="004C6A56"/>
    <w:rsid w:val="004C75A3"/>
    <w:rsid w:val="004D0E6E"/>
    <w:rsid w:val="004D70C6"/>
    <w:rsid w:val="004E07D9"/>
    <w:rsid w:val="004E0B31"/>
    <w:rsid w:val="004E163D"/>
    <w:rsid w:val="004E1F6E"/>
    <w:rsid w:val="004E2FF4"/>
    <w:rsid w:val="004E3F92"/>
    <w:rsid w:val="004E43A1"/>
    <w:rsid w:val="004E7EDA"/>
    <w:rsid w:val="004F4524"/>
    <w:rsid w:val="004F51B2"/>
    <w:rsid w:val="00500B4D"/>
    <w:rsid w:val="00500B54"/>
    <w:rsid w:val="00501B28"/>
    <w:rsid w:val="00503548"/>
    <w:rsid w:val="00505972"/>
    <w:rsid w:val="0051022F"/>
    <w:rsid w:val="00513AA4"/>
    <w:rsid w:val="00516AF0"/>
    <w:rsid w:val="00516EBE"/>
    <w:rsid w:val="005171AC"/>
    <w:rsid w:val="00517E0B"/>
    <w:rsid w:val="0052557C"/>
    <w:rsid w:val="00526E41"/>
    <w:rsid w:val="00531339"/>
    <w:rsid w:val="005324DE"/>
    <w:rsid w:val="00535778"/>
    <w:rsid w:val="005415DE"/>
    <w:rsid w:val="005424DB"/>
    <w:rsid w:val="00545011"/>
    <w:rsid w:val="005500A6"/>
    <w:rsid w:val="00551492"/>
    <w:rsid w:val="0055230B"/>
    <w:rsid w:val="00552CA5"/>
    <w:rsid w:val="005549D4"/>
    <w:rsid w:val="0055513B"/>
    <w:rsid w:val="005574C8"/>
    <w:rsid w:val="00563809"/>
    <w:rsid w:val="00563BF4"/>
    <w:rsid w:val="005655CF"/>
    <w:rsid w:val="005662E2"/>
    <w:rsid w:val="005675D8"/>
    <w:rsid w:val="0057106D"/>
    <w:rsid w:val="0057118E"/>
    <w:rsid w:val="00573F13"/>
    <w:rsid w:val="00576E74"/>
    <w:rsid w:val="00583B2F"/>
    <w:rsid w:val="005948B0"/>
    <w:rsid w:val="00595BE1"/>
    <w:rsid w:val="00597ACE"/>
    <w:rsid w:val="005A3082"/>
    <w:rsid w:val="005A32BD"/>
    <w:rsid w:val="005A5AC6"/>
    <w:rsid w:val="005A6DF5"/>
    <w:rsid w:val="005A7F8D"/>
    <w:rsid w:val="005B1BAF"/>
    <w:rsid w:val="005B40B5"/>
    <w:rsid w:val="005B4CFF"/>
    <w:rsid w:val="005B56DE"/>
    <w:rsid w:val="005C1E18"/>
    <w:rsid w:val="005C1F05"/>
    <w:rsid w:val="005C6403"/>
    <w:rsid w:val="005D15F3"/>
    <w:rsid w:val="005D22B2"/>
    <w:rsid w:val="005D27C7"/>
    <w:rsid w:val="005D3982"/>
    <w:rsid w:val="005D4904"/>
    <w:rsid w:val="005D5C00"/>
    <w:rsid w:val="005D6018"/>
    <w:rsid w:val="005E6FBC"/>
    <w:rsid w:val="005F07EB"/>
    <w:rsid w:val="005F1543"/>
    <w:rsid w:val="005F161D"/>
    <w:rsid w:val="00600B64"/>
    <w:rsid w:val="00601946"/>
    <w:rsid w:val="00602C5B"/>
    <w:rsid w:val="00603785"/>
    <w:rsid w:val="00603BE0"/>
    <w:rsid w:val="00605CEA"/>
    <w:rsid w:val="00605DC4"/>
    <w:rsid w:val="00606156"/>
    <w:rsid w:val="0061275C"/>
    <w:rsid w:val="00622F2B"/>
    <w:rsid w:val="006242CA"/>
    <w:rsid w:val="0062470E"/>
    <w:rsid w:val="00624913"/>
    <w:rsid w:val="00625D44"/>
    <w:rsid w:val="00630494"/>
    <w:rsid w:val="00630E5E"/>
    <w:rsid w:val="0064067D"/>
    <w:rsid w:val="006416A8"/>
    <w:rsid w:val="00650834"/>
    <w:rsid w:val="0065085B"/>
    <w:rsid w:val="006531D3"/>
    <w:rsid w:val="006532BB"/>
    <w:rsid w:val="00653CAE"/>
    <w:rsid w:val="00653D38"/>
    <w:rsid w:val="00654335"/>
    <w:rsid w:val="00656DDF"/>
    <w:rsid w:val="006605E7"/>
    <w:rsid w:val="0066200D"/>
    <w:rsid w:val="0066359F"/>
    <w:rsid w:val="00663E6F"/>
    <w:rsid w:val="00664F85"/>
    <w:rsid w:val="00666907"/>
    <w:rsid w:val="006672DA"/>
    <w:rsid w:val="0067068C"/>
    <w:rsid w:val="00687CB6"/>
    <w:rsid w:val="00687EC3"/>
    <w:rsid w:val="00692517"/>
    <w:rsid w:val="00694698"/>
    <w:rsid w:val="006A3F26"/>
    <w:rsid w:val="006A4DCE"/>
    <w:rsid w:val="006A55CD"/>
    <w:rsid w:val="006A7A50"/>
    <w:rsid w:val="006B0601"/>
    <w:rsid w:val="006B1FF5"/>
    <w:rsid w:val="006B5F3D"/>
    <w:rsid w:val="006C1380"/>
    <w:rsid w:val="006C2B0F"/>
    <w:rsid w:val="006C5FEF"/>
    <w:rsid w:val="006C6AF0"/>
    <w:rsid w:val="006D1316"/>
    <w:rsid w:val="006D1E7C"/>
    <w:rsid w:val="006D2474"/>
    <w:rsid w:val="006D3E27"/>
    <w:rsid w:val="006D3FFF"/>
    <w:rsid w:val="006D414C"/>
    <w:rsid w:val="006D7E16"/>
    <w:rsid w:val="006E0ABD"/>
    <w:rsid w:val="006E1B8C"/>
    <w:rsid w:val="006E366F"/>
    <w:rsid w:val="006E3C57"/>
    <w:rsid w:val="006E5418"/>
    <w:rsid w:val="006E5B16"/>
    <w:rsid w:val="006F18EA"/>
    <w:rsid w:val="006F3828"/>
    <w:rsid w:val="006F49CD"/>
    <w:rsid w:val="006F50FD"/>
    <w:rsid w:val="00700C24"/>
    <w:rsid w:val="00701665"/>
    <w:rsid w:val="00704ED2"/>
    <w:rsid w:val="007101BB"/>
    <w:rsid w:val="0071109C"/>
    <w:rsid w:val="00711D08"/>
    <w:rsid w:val="007130BF"/>
    <w:rsid w:val="00714FDE"/>
    <w:rsid w:val="00717BA5"/>
    <w:rsid w:val="00723269"/>
    <w:rsid w:val="00723E56"/>
    <w:rsid w:val="00724B4F"/>
    <w:rsid w:val="00727B64"/>
    <w:rsid w:val="007305F4"/>
    <w:rsid w:val="007308CC"/>
    <w:rsid w:val="00730B9C"/>
    <w:rsid w:val="00736F2E"/>
    <w:rsid w:val="007428BF"/>
    <w:rsid w:val="00752BBE"/>
    <w:rsid w:val="007538DE"/>
    <w:rsid w:val="00753F37"/>
    <w:rsid w:val="00760AE0"/>
    <w:rsid w:val="0076127E"/>
    <w:rsid w:val="00763B0A"/>
    <w:rsid w:val="00763D02"/>
    <w:rsid w:val="00767DB5"/>
    <w:rsid w:val="00767E52"/>
    <w:rsid w:val="00772A89"/>
    <w:rsid w:val="00777DBE"/>
    <w:rsid w:val="00780F10"/>
    <w:rsid w:val="007813DB"/>
    <w:rsid w:val="00782632"/>
    <w:rsid w:val="00786127"/>
    <w:rsid w:val="007943FE"/>
    <w:rsid w:val="007944D2"/>
    <w:rsid w:val="00794F11"/>
    <w:rsid w:val="00795157"/>
    <w:rsid w:val="00796420"/>
    <w:rsid w:val="007A3D09"/>
    <w:rsid w:val="007A5329"/>
    <w:rsid w:val="007A5D24"/>
    <w:rsid w:val="007B2E29"/>
    <w:rsid w:val="007B3A0F"/>
    <w:rsid w:val="007B6356"/>
    <w:rsid w:val="007B68BD"/>
    <w:rsid w:val="007B7B0A"/>
    <w:rsid w:val="007C0B7E"/>
    <w:rsid w:val="007C728C"/>
    <w:rsid w:val="007D0A05"/>
    <w:rsid w:val="007D0F22"/>
    <w:rsid w:val="007D3F7B"/>
    <w:rsid w:val="007D58E3"/>
    <w:rsid w:val="007E2DF7"/>
    <w:rsid w:val="007E53C9"/>
    <w:rsid w:val="007F31BB"/>
    <w:rsid w:val="007F3CF5"/>
    <w:rsid w:val="007F5A1C"/>
    <w:rsid w:val="007F5AD9"/>
    <w:rsid w:val="007F60A1"/>
    <w:rsid w:val="00802FE1"/>
    <w:rsid w:val="00803A78"/>
    <w:rsid w:val="00803D65"/>
    <w:rsid w:val="00805059"/>
    <w:rsid w:val="00805E23"/>
    <w:rsid w:val="00812DEF"/>
    <w:rsid w:val="00813148"/>
    <w:rsid w:val="00813A98"/>
    <w:rsid w:val="00826309"/>
    <w:rsid w:val="008318BE"/>
    <w:rsid w:val="0083262D"/>
    <w:rsid w:val="00832867"/>
    <w:rsid w:val="00834611"/>
    <w:rsid w:val="00834D77"/>
    <w:rsid w:val="0083669E"/>
    <w:rsid w:val="00837DA7"/>
    <w:rsid w:val="00840647"/>
    <w:rsid w:val="008409F0"/>
    <w:rsid w:val="00844806"/>
    <w:rsid w:val="008457F0"/>
    <w:rsid w:val="00846B9D"/>
    <w:rsid w:val="00846D3E"/>
    <w:rsid w:val="00851A0F"/>
    <w:rsid w:val="00851E44"/>
    <w:rsid w:val="00851EB5"/>
    <w:rsid w:val="00854F7D"/>
    <w:rsid w:val="008573DE"/>
    <w:rsid w:val="00866F89"/>
    <w:rsid w:val="008715C7"/>
    <w:rsid w:val="00872581"/>
    <w:rsid w:val="00872B2D"/>
    <w:rsid w:val="00875854"/>
    <w:rsid w:val="0087748F"/>
    <w:rsid w:val="008832A1"/>
    <w:rsid w:val="0088683A"/>
    <w:rsid w:val="00890115"/>
    <w:rsid w:val="008922F2"/>
    <w:rsid w:val="00892773"/>
    <w:rsid w:val="008942A6"/>
    <w:rsid w:val="00896103"/>
    <w:rsid w:val="0089798B"/>
    <w:rsid w:val="008A0E6C"/>
    <w:rsid w:val="008A26CC"/>
    <w:rsid w:val="008A47D5"/>
    <w:rsid w:val="008C2164"/>
    <w:rsid w:val="008C2698"/>
    <w:rsid w:val="008C2D41"/>
    <w:rsid w:val="008C4E1C"/>
    <w:rsid w:val="008C572B"/>
    <w:rsid w:val="008C6EDC"/>
    <w:rsid w:val="008D561E"/>
    <w:rsid w:val="008D623F"/>
    <w:rsid w:val="008E01E8"/>
    <w:rsid w:val="008E183D"/>
    <w:rsid w:val="008E240A"/>
    <w:rsid w:val="008E2BF5"/>
    <w:rsid w:val="008E3480"/>
    <w:rsid w:val="008E3C62"/>
    <w:rsid w:val="008F28EF"/>
    <w:rsid w:val="008F547D"/>
    <w:rsid w:val="00900B6B"/>
    <w:rsid w:val="00903C38"/>
    <w:rsid w:val="00903E7F"/>
    <w:rsid w:val="00904607"/>
    <w:rsid w:val="009067C1"/>
    <w:rsid w:val="0091055A"/>
    <w:rsid w:val="00911FAE"/>
    <w:rsid w:val="009237B5"/>
    <w:rsid w:val="00924CF8"/>
    <w:rsid w:val="009260AF"/>
    <w:rsid w:val="00926499"/>
    <w:rsid w:val="00927935"/>
    <w:rsid w:val="00927F85"/>
    <w:rsid w:val="00932362"/>
    <w:rsid w:val="00934054"/>
    <w:rsid w:val="00937157"/>
    <w:rsid w:val="009374D4"/>
    <w:rsid w:val="00937789"/>
    <w:rsid w:val="009379BB"/>
    <w:rsid w:val="009403A0"/>
    <w:rsid w:val="009469EF"/>
    <w:rsid w:val="0094768E"/>
    <w:rsid w:val="0095097F"/>
    <w:rsid w:val="0095165A"/>
    <w:rsid w:val="00953A4C"/>
    <w:rsid w:val="00953D2F"/>
    <w:rsid w:val="00961C70"/>
    <w:rsid w:val="0096457A"/>
    <w:rsid w:val="00972505"/>
    <w:rsid w:val="00972B68"/>
    <w:rsid w:val="00973CC8"/>
    <w:rsid w:val="0097478A"/>
    <w:rsid w:val="00982A86"/>
    <w:rsid w:val="00982AAD"/>
    <w:rsid w:val="00984447"/>
    <w:rsid w:val="009847F5"/>
    <w:rsid w:val="009847F8"/>
    <w:rsid w:val="00985351"/>
    <w:rsid w:val="009861AB"/>
    <w:rsid w:val="00991BE4"/>
    <w:rsid w:val="0099240A"/>
    <w:rsid w:val="009954CE"/>
    <w:rsid w:val="009A2B11"/>
    <w:rsid w:val="009A3B58"/>
    <w:rsid w:val="009A67C7"/>
    <w:rsid w:val="009B337B"/>
    <w:rsid w:val="009B4CE7"/>
    <w:rsid w:val="009B51F8"/>
    <w:rsid w:val="009B6F98"/>
    <w:rsid w:val="009B7A1F"/>
    <w:rsid w:val="009B7ECB"/>
    <w:rsid w:val="009C13E7"/>
    <w:rsid w:val="009C4102"/>
    <w:rsid w:val="009D2349"/>
    <w:rsid w:val="009D3DFB"/>
    <w:rsid w:val="009D5FFF"/>
    <w:rsid w:val="009E2284"/>
    <w:rsid w:val="009E4BB5"/>
    <w:rsid w:val="009E678A"/>
    <w:rsid w:val="009E7112"/>
    <w:rsid w:val="009F1006"/>
    <w:rsid w:val="009F6D1C"/>
    <w:rsid w:val="00A00681"/>
    <w:rsid w:val="00A01F90"/>
    <w:rsid w:val="00A0237F"/>
    <w:rsid w:val="00A11326"/>
    <w:rsid w:val="00A1262F"/>
    <w:rsid w:val="00A2082A"/>
    <w:rsid w:val="00A2523D"/>
    <w:rsid w:val="00A3016C"/>
    <w:rsid w:val="00A315DD"/>
    <w:rsid w:val="00A42B31"/>
    <w:rsid w:val="00A43D3A"/>
    <w:rsid w:val="00A515E9"/>
    <w:rsid w:val="00A551B5"/>
    <w:rsid w:val="00A55B47"/>
    <w:rsid w:val="00A57897"/>
    <w:rsid w:val="00A61A29"/>
    <w:rsid w:val="00A63FC4"/>
    <w:rsid w:val="00A64AB3"/>
    <w:rsid w:val="00A64F89"/>
    <w:rsid w:val="00A662C5"/>
    <w:rsid w:val="00A67A79"/>
    <w:rsid w:val="00A712EA"/>
    <w:rsid w:val="00A72425"/>
    <w:rsid w:val="00A72908"/>
    <w:rsid w:val="00A7444C"/>
    <w:rsid w:val="00A76A82"/>
    <w:rsid w:val="00A82BFF"/>
    <w:rsid w:val="00A9199D"/>
    <w:rsid w:val="00A95AFA"/>
    <w:rsid w:val="00A97A68"/>
    <w:rsid w:val="00AA05DE"/>
    <w:rsid w:val="00AA6C3A"/>
    <w:rsid w:val="00AB26CD"/>
    <w:rsid w:val="00AB5465"/>
    <w:rsid w:val="00AB578F"/>
    <w:rsid w:val="00AC190A"/>
    <w:rsid w:val="00AC2D2A"/>
    <w:rsid w:val="00AC5C7E"/>
    <w:rsid w:val="00AC635E"/>
    <w:rsid w:val="00AC661F"/>
    <w:rsid w:val="00AD2F06"/>
    <w:rsid w:val="00AD46BE"/>
    <w:rsid w:val="00AD6CBE"/>
    <w:rsid w:val="00AD7EFF"/>
    <w:rsid w:val="00AE47E8"/>
    <w:rsid w:val="00AE581D"/>
    <w:rsid w:val="00AE616C"/>
    <w:rsid w:val="00AE7B99"/>
    <w:rsid w:val="00AF0654"/>
    <w:rsid w:val="00AF07F6"/>
    <w:rsid w:val="00AF2026"/>
    <w:rsid w:val="00AF32AA"/>
    <w:rsid w:val="00B00A6D"/>
    <w:rsid w:val="00B00DAE"/>
    <w:rsid w:val="00B0290D"/>
    <w:rsid w:val="00B02FA5"/>
    <w:rsid w:val="00B0387F"/>
    <w:rsid w:val="00B051BB"/>
    <w:rsid w:val="00B055BB"/>
    <w:rsid w:val="00B05C48"/>
    <w:rsid w:val="00B06365"/>
    <w:rsid w:val="00B10E92"/>
    <w:rsid w:val="00B118BA"/>
    <w:rsid w:val="00B12185"/>
    <w:rsid w:val="00B1456D"/>
    <w:rsid w:val="00B17727"/>
    <w:rsid w:val="00B23CD6"/>
    <w:rsid w:val="00B2463A"/>
    <w:rsid w:val="00B344FE"/>
    <w:rsid w:val="00B34E59"/>
    <w:rsid w:val="00B356F6"/>
    <w:rsid w:val="00B35C65"/>
    <w:rsid w:val="00B37676"/>
    <w:rsid w:val="00B41C1F"/>
    <w:rsid w:val="00B41CB0"/>
    <w:rsid w:val="00B4299F"/>
    <w:rsid w:val="00B475A5"/>
    <w:rsid w:val="00B477F0"/>
    <w:rsid w:val="00B50232"/>
    <w:rsid w:val="00B506A2"/>
    <w:rsid w:val="00B50B1D"/>
    <w:rsid w:val="00B52D76"/>
    <w:rsid w:val="00B53F1E"/>
    <w:rsid w:val="00B55FAB"/>
    <w:rsid w:val="00B574DA"/>
    <w:rsid w:val="00B6159E"/>
    <w:rsid w:val="00B628E0"/>
    <w:rsid w:val="00B64D98"/>
    <w:rsid w:val="00B671ED"/>
    <w:rsid w:val="00B70B63"/>
    <w:rsid w:val="00B71637"/>
    <w:rsid w:val="00B72818"/>
    <w:rsid w:val="00B72F48"/>
    <w:rsid w:val="00B734C1"/>
    <w:rsid w:val="00B83191"/>
    <w:rsid w:val="00B83E64"/>
    <w:rsid w:val="00B90388"/>
    <w:rsid w:val="00B91E33"/>
    <w:rsid w:val="00B9555E"/>
    <w:rsid w:val="00BA2A17"/>
    <w:rsid w:val="00BA7432"/>
    <w:rsid w:val="00BB0119"/>
    <w:rsid w:val="00BB2BDA"/>
    <w:rsid w:val="00BB60D8"/>
    <w:rsid w:val="00BB626E"/>
    <w:rsid w:val="00BB7355"/>
    <w:rsid w:val="00BB76EE"/>
    <w:rsid w:val="00BB791D"/>
    <w:rsid w:val="00BC268B"/>
    <w:rsid w:val="00BC522C"/>
    <w:rsid w:val="00BD01B1"/>
    <w:rsid w:val="00BD2432"/>
    <w:rsid w:val="00BD2AA2"/>
    <w:rsid w:val="00BE2273"/>
    <w:rsid w:val="00BF1D87"/>
    <w:rsid w:val="00BF3E12"/>
    <w:rsid w:val="00BF44D9"/>
    <w:rsid w:val="00BF4E46"/>
    <w:rsid w:val="00C002A9"/>
    <w:rsid w:val="00C0143D"/>
    <w:rsid w:val="00C02336"/>
    <w:rsid w:val="00C03224"/>
    <w:rsid w:val="00C059C4"/>
    <w:rsid w:val="00C068BE"/>
    <w:rsid w:val="00C07B6F"/>
    <w:rsid w:val="00C10C42"/>
    <w:rsid w:val="00C131B7"/>
    <w:rsid w:val="00C232AE"/>
    <w:rsid w:val="00C27BF5"/>
    <w:rsid w:val="00C27C49"/>
    <w:rsid w:val="00C41375"/>
    <w:rsid w:val="00C42287"/>
    <w:rsid w:val="00C45458"/>
    <w:rsid w:val="00C469FF"/>
    <w:rsid w:val="00C5014F"/>
    <w:rsid w:val="00C514E5"/>
    <w:rsid w:val="00C515A5"/>
    <w:rsid w:val="00C52478"/>
    <w:rsid w:val="00C52494"/>
    <w:rsid w:val="00C53E0B"/>
    <w:rsid w:val="00C54A60"/>
    <w:rsid w:val="00C55EB7"/>
    <w:rsid w:val="00C5733A"/>
    <w:rsid w:val="00C617F7"/>
    <w:rsid w:val="00C629A0"/>
    <w:rsid w:val="00C652ED"/>
    <w:rsid w:val="00C65AC5"/>
    <w:rsid w:val="00C668FA"/>
    <w:rsid w:val="00C7283C"/>
    <w:rsid w:val="00C84A8F"/>
    <w:rsid w:val="00C90CD3"/>
    <w:rsid w:val="00C9275E"/>
    <w:rsid w:val="00C94822"/>
    <w:rsid w:val="00C959A8"/>
    <w:rsid w:val="00CA0C02"/>
    <w:rsid w:val="00CA0EA1"/>
    <w:rsid w:val="00CA391F"/>
    <w:rsid w:val="00CA523F"/>
    <w:rsid w:val="00CB0E4B"/>
    <w:rsid w:val="00CB5405"/>
    <w:rsid w:val="00CB5774"/>
    <w:rsid w:val="00CB793B"/>
    <w:rsid w:val="00CB7B93"/>
    <w:rsid w:val="00CC005E"/>
    <w:rsid w:val="00CD201F"/>
    <w:rsid w:val="00CD53BE"/>
    <w:rsid w:val="00CD7034"/>
    <w:rsid w:val="00CD78FF"/>
    <w:rsid w:val="00CE25BE"/>
    <w:rsid w:val="00CE3730"/>
    <w:rsid w:val="00CE7EC8"/>
    <w:rsid w:val="00CF22FC"/>
    <w:rsid w:val="00CF3536"/>
    <w:rsid w:val="00CF3BBB"/>
    <w:rsid w:val="00CF3D42"/>
    <w:rsid w:val="00CF55EE"/>
    <w:rsid w:val="00CF68C6"/>
    <w:rsid w:val="00CF6E9A"/>
    <w:rsid w:val="00D04CE0"/>
    <w:rsid w:val="00D12E93"/>
    <w:rsid w:val="00D142F8"/>
    <w:rsid w:val="00D14A60"/>
    <w:rsid w:val="00D214B9"/>
    <w:rsid w:val="00D269CB"/>
    <w:rsid w:val="00D27AD9"/>
    <w:rsid w:val="00D310ED"/>
    <w:rsid w:val="00D320AF"/>
    <w:rsid w:val="00D320BC"/>
    <w:rsid w:val="00D37DD3"/>
    <w:rsid w:val="00D41E7F"/>
    <w:rsid w:val="00D4312D"/>
    <w:rsid w:val="00D4380B"/>
    <w:rsid w:val="00D4602D"/>
    <w:rsid w:val="00D52A2E"/>
    <w:rsid w:val="00D53735"/>
    <w:rsid w:val="00D555F5"/>
    <w:rsid w:val="00D57499"/>
    <w:rsid w:val="00D62891"/>
    <w:rsid w:val="00D642FD"/>
    <w:rsid w:val="00D67FD6"/>
    <w:rsid w:val="00D74D83"/>
    <w:rsid w:val="00D75F22"/>
    <w:rsid w:val="00D75FC7"/>
    <w:rsid w:val="00D83178"/>
    <w:rsid w:val="00D83E1D"/>
    <w:rsid w:val="00D85CBA"/>
    <w:rsid w:val="00D92347"/>
    <w:rsid w:val="00D97348"/>
    <w:rsid w:val="00D97E09"/>
    <w:rsid w:val="00DA1099"/>
    <w:rsid w:val="00DA6249"/>
    <w:rsid w:val="00DB245B"/>
    <w:rsid w:val="00DB2B70"/>
    <w:rsid w:val="00DB4C1F"/>
    <w:rsid w:val="00DB574D"/>
    <w:rsid w:val="00DB610A"/>
    <w:rsid w:val="00DC1601"/>
    <w:rsid w:val="00DC23B7"/>
    <w:rsid w:val="00DD06EE"/>
    <w:rsid w:val="00DD1160"/>
    <w:rsid w:val="00DD23DF"/>
    <w:rsid w:val="00DD2FDE"/>
    <w:rsid w:val="00DD45F3"/>
    <w:rsid w:val="00DD4905"/>
    <w:rsid w:val="00DD6350"/>
    <w:rsid w:val="00DE21CA"/>
    <w:rsid w:val="00DE3875"/>
    <w:rsid w:val="00DE4335"/>
    <w:rsid w:val="00DE4B46"/>
    <w:rsid w:val="00DE62A7"/>
    <w:rsid w:val="00DF04D2"/>
    <w:rsid w:val="00DF124A"/>
    <w:rsid w:val="00E020F0"/>
    <w:rsid w:val="00E0508B"/>
    <w:rsid w:val="00E05967"/>
    <w:rsid w:val="00E12F4E"/>
    <w:rsid w:val="00E178DD"/>
    <w:rsid w:val="00E218D9"/>
    <w:rsid w:val="00E22402"/>
    <w:rsid w:val="00E23049"/>
    <w:rsid w:val="00E27FE7"/>
    <w:rsid w:val="00E3311D"/>
    <w:rsid w:val="00E36546"/>
    <w:rsid w:val="00E41C3B"/>
    <w:rsid w:val="00E42BAA"/>
    <w:rsid w:val="00E43BAE"/>
    <w:rsid w:val="00E45A93"/>
    <w:rsid w:val="00E46062"/>
    <w:rsid w:val="00E46760"/>
    <w:rsid w:val="00E536E4"/>
    <w:rsid w:val="00E568D2"/>
    <w:rsid w:val="00E573B1"/>
    <w:rsid w:val="00E604F9"/>
    <w:rsid w:val="00E62CAF"/>
    <w:rsid w:val="00E655F3"/>
    <w:rsid w:val="00E70704"/>
    <w:rsid w:val="00E70E08"/>
    <w:rsid w:val="00E72B8C"/>
    <w:rsid w:val="00E73022"/>
    <w:rsid w:val="00E73BB9"/>
    <w:rsid w:val="00E74537"/>
    <w:rsid w:val="00E81531"/>
    <w:rsid w:val="00E828D2"/>
    <w:rsid w:val="00E845FF"/>
    <w:rsid w:val="00E85F70"/>
    <w:rsid w:val="00E87395"/>
    <w:rsid w:val="00E91CE5"/>
    <w:rsid w:val="00E92A4A"/>
    <w:rsid w:val="00E95B73"/>
    <w:rsid w:val="00E96104"/>
    <w:rsid w:val="00E97642"/>
    <w:rsid w:val="00EA0665"/>
    <w:rsid w:val="00EA3836"/>
    <w:rsid w:val="00EA3DBA"/>
    <w:rsid w:val="00EA3EF3"/>
    <w:rsid w:val="00EA433D"/>
    <w:rsid w:val="00EB0B66"/>
    <w:rsid w:val="00EB650B"/>
    <w:rsid w:val="00EB6D18"/>
    <w:rsid w:val="00EB7692"/>
    <w:rsid w:val="00EC0DDF"/>
    <w:rsid w:val="00EC2158"/>
    <w:rsid w:val="00EC24DB"/>
    <w:rsid w:val="00EC59B8"/>
    <w:rsid w:val="00EC5A47"/>
    <w:rsid w:val="00EC6E41"/>
    <w:rsid w:val="00EC74AA"/>
    <w:rsid w:val="00ED016E"/>
    <w:rsid w:val="00EE0A61"/>
    <w:rsid w:val="00EE1C00"/>
    <w:rsid w:val="00EE609C"/>
    <w:rsid w:val="00EF1623"/>
    <w:rsid w:val="00EF3E91"/>
    <w:rsid w:val="00EF5912"/>
    <w:rsid w:val="00EF7143"/>
    <w:rsid w:val="00F01B62"/>
    <w:rsid w:val="00F01FD7"/>
    <w:rsid w:val="00F03981"/>
    <w:rsid w:val="00F05D94"/>
    <w:rsid w:val="00F06FDA"/>
    <w:rsid w:val="00F11455"/>
    <w:rsid w:val="00F12090"/>
    <w:rsid w:val="00F1361E"/>
    <w:rsid w:val="00F15F7C"/>
    <w:rsid w:val="00F17169"/>
    <w:rsid w:val="00F2249B"/>
    <w:rsid w:val="00F2648D"/>
    <w:rsid w:val="00F2798D"/>
    <w:rsid w:val="00F36436"/>
    <w:rsid w:val="00F367FB"/>
    <w:rsid w:val="00F47C1A"/>
    <w:rsid w:val="00F50111"/>
    <w:rsid w:val="00F54052"/>
    <w:rsid w:val="00F55550"/>
    <w:rsid w:val="00F5616A"/>
    <w:rsid w:val="00F562D2"/>
    <w:rsid w:val="00F623F9"/>
    <w:rsid w:val="00F63517"/>
    <w:rsid w:val="00F702AD"/>
    <w:rsid w:val="00F72275"/>
    <w:rsid w:val="00F72449"/>
    <w:rsid w:val="00F72C99"/>
    <w:rsid w:val="00F76137"/>
    <w:rsid w:val="00F7697E"/>
    <w:rsid w:val="00F83708"/>
    <w:rsid w:val="00F84B35"/>
    <w:rsid w:val="00F87456"/>
    <w:rsid w:val="00F874F6"/>
    <w:rsid w:val="00F91492"/>
    <w:rsid w:val="00F92841"/>
    <w:rsid w:val="00F94B74"/>
    <w:rsid w:val="00F9565B"/>
    <w:rsid w:val="00F95E92"/>
    <w:rsid w:val="00F96525"/>
    <w:rsid w:val="00FA405D"/>
    <w:rsid w:val="00FA5532"/>
    <w:rsid w:val="00FA6A11"/>
    <w:rsid w:val="00FA7544"/>
    <w:rsid w:val="00FB3764"/>
    <w:rsid w:val="00FB736E"/>
    <w:rsid w:val="00FC421E"/>
    <w:rsid w:val="00FD245F"/>
    <w:rsid w:val="00FD5137"/>
    <w:rsid w:val="00FE2851"/>
    <w:rsid w:val="00FE6E68"/>
    <w:rsid w:val="00FF14C8"/>
    <w:rsid w:val="00FF26C6"/>
    <w:rsid w:val="00FF461F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D4864"/>
  <w15:docId w15:val="{9749D43B-BA99-1F45-9AD2-4040CB51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42"/>
    <w:rPr>
      <w:lang w:val="ca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B344FE"/>
    <w:pPr>
      <w:spacing w:before="240"/>
      <w:outlineLvl w:val="0"/>
    </w:pPr>
    <w:rPr>
      <w:b/>
      <w:sz w:val="2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B344FE"/>
    <w:pPr>
      <w:numPr>
        <w:ilvl w:val="1"/>
      </w:numPr>
      <w:spacing w:before="120"/>
      <w:contextualSpacing w:val="0"/>
      <w:outlineLvl w:val="1"/>
    </w:pPr>
    <w:rPr>
      <w:b/>
      <w:sz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57118E"/>
    <w:pPr>
      <w:numPr>
        <w:ilvl w:val="2"/>
      </w:numPr>
      <w:outlineLvl w:val="2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6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Guio"/>
    <w:basedOn w:val="Normal"/>
    <w:link w:val="PrrafodelistaCar"/>
    <w:uiPriority w:val="34"/>
    <w:qFormat/>
    <w:rsid w:val="005D15F3"/>
    <w:pPr>
      <w:numPr>
        <w:numId w:val="1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44FE"/>
    <w:rPr>
      <w:b/>
      <w:sz w:val="28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5D15F3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44FE"/>
    <w:rPr>
      <w:b/>
      <w:sz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364FB5"/>
    <w:pPr>
      <w:tabs>
        <w:tab w:val="left" w:pos="880"/>
        <w:tab w:val="right" w:leader="dot" w:pos="8494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D15F3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7118E"/>
    <w:rPr>
      <w:sz w:val="24"/>
      <w:lang w:val="ca-ES"/>
    </w:rPr>
  </w:style>
  <w:style w:type="paragraph" w:styleId="TDC1">
    <w:name w:val="toc 1"/>
    <w:basedOn w:val="Normal"/>
    <w:next w:val="Normal"/>
    <w:autoRedefine/>
    <w:uiPriority w:val="39"/>
    <w:unhideWhenUsed/>
    <w:rsid w:val="00B344FE"/>
    <w:pPr>
      <w:tabs>
        <w:tab w:val="left" w:pos="440"/>
        <w:tab w:val="right" w:leader="dot" w:pos="8494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033923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B4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dth49">
    <w:name w:val="width_49"/>
    <w:basedOn w:val="Normal"/>
    <w:rsid w:val="001F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E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ED6"/>
    <w:rPr>
      <w:rFonts w:ascii="Lucida Grande" w:hAnsi="Lucida Grande" w:cs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61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iPriority w:val="99"/>
    <w:unhideWhenUsed/>
    <w:rsid w:val="0089277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92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92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773"/>
    <w:rPr>
      <w:b/>
      <w:bCs/>
      <w:sz w:val="20"/>
      <w:szCs w:val="20"/>
    </w:rPr>
  </w:style>
  <w:style w:type="paragraph" w:customStyle="1" w:styleId="Default">
    <w:name w:val="Default"/>
    <w:rsid w:val="00FA75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01E54"/>
    <w:pPr>
      <w:spacing w:after="0" w:line="240" w:lineRule="auto"/>
    </w:pPr>
    <w:rPr>
      <w:lang w:val="ca-ES"/>
    </w:rPr>
  </w:style>
  <w:style w:type="character" w:customStyle="1" w:styleId="PrrafodelistaCar">
    <w:name w:val="Párrafo de lista Car"/>
    <w:aliases w:val="Guio Car"/>
    <w:link w:val="Prrafodelista"/>
    <w:uiPriority w:val="34"/>
    <w:rsid w:val="00001E54"/>
    <w:rPr>
      <w:lang w:val="ca-ES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3C63AF"/>
    <w:pPr>
      <w:spacing w:line="252" w:lineRule="auto"/>
      <w:jc w:val="both"/>
    </w:pPr>
    <w:rPr>
      <w:rFonts w:eastAsiaTheme="minorEastAsia"/>
      <w:b/>
      <w:bCs/>
      <w:sz w:val="18"/>
      <w:szCs w:val="18"/>
      <w:lang w:val="en-GB" w:eastAsia="es-ES"/>
    </w:rPr>
  </w:style>
  <w:style w:type="character" w:customStyle="1" w:styleId="DescripcinCar">
    <w:name w:val="Descripción Car"/>
    <w:link w:val="Descripcin"/>
    <w:uiPriority w:val="35"/>
    <w:rsid w:val="003C63AF"/>
    <w:rPr>
      <w:rFonts w:eastAsiaTheme="minorEastAsia"/>
      <w:b/>
      <w:bCs/>
      <w:sz w:val="18"/>
      <w:szCs w:val="18"/>
      <w:lang w:val="en-GB" w:eastAsia="es-ES"/>
    </w:rPr>
  </w:style>
  <w:style w:type="paragraph" w:customStyle="1" w:styleId="Normal1">
    <w:name w:val="Normal1"/>
    <w:basedOn w:val="Normal"/>
    <w:qFormat/>
    <w:rsid w:val="003C63AF"/>
    <w:pPr>
      <w:autoSpaceDE w:val="0"/>
      <w:autoSpaceDN w:val="0"/>
      <w:adjustRightInd w:val="0"/>
      <w:spacing w:line="276" w:lineRule="auto"/>
      <w:jc w:val="both"/>
    </w:pPr>
    <w:rPr>
      <w:rFonts w:asciiTheme="majorHAnsi" w:eastAsia="Calibri" w:hAnsiTheme="majorHAnsi"/>
      <w:lang w:val="en-GB"/>
    </w:rPr>
  </w:style>
  <w:style w:type="paragraph" w:styleId="Tabladeilustraciones">
    <w:name w:val="table of figures"/>
    <w:basedOn w:val="Normal"/>
    <w:next w:val="Normal"/>
    <w:uiPriority w:val="99"/>
    <w:unhideWhenUsed/>
    <w:rsid w:val="003C63AF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FD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45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D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45F"/>
    <w:rPr>
      <w:lang w:val="ca-ES"/>
    </w:rPr>
  </w:style>
  <w:style w:type="paragraph" w:styleId="TDC4">
    <w:name w:val="toc 4"/>
    <w:basedOn w:val="Normal"/>
    <w:next w:val="Normal"/>
    <w:autoRedefine/>
    <w:uiPriority w:val="39"/>
    <w:unhideWhenUsed/>
    <w:rsid w:val="00F94B74"/>
    <w:pPr>
      <w:spacing w:after="100"/>
      <w:ind w:left="660"/>
    </w:pPr>
    <w:rPr>
      <w:rFonts w:eastAsiaTheme="minorEastAsia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F94B74"/>
    <w:pPr>
      <w:spacing w:after="100"/>
      <w:ind w:left="880"/>
    </w:pPr>
    <w:rPr>
      <w:rFonts w:eastAsiaTheme="minorEastAsia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F94B74"/>
    <w:pPr>
      <w:spacing w:after="100"/>
      <w:ind w:left="1100"/>
    </w:pPr>
    <w:rPr>
      <w:rFonts w:eastAsiaTheme="minorEastAsia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F94B74"/>
    <w:pPr>
      <w:spacing w:after="100"/>
      <w:ind w:left="1320"/>
    </w:pPr>
    <w:rPr>
      <w:rFonts w:eastAsiaTheme="minorEastAsia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F94B74"/>
    <w:pPr>
      <w:spacing w:after="100"/>
      <w:ind w:left="1540"/>
    </w:pPr>
    <w:rPr>
      <w:rFonts w:eastAsiaTheme="minorEastAsia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F94B74"/>
    <w:pPr>
      <w:spacing w:after="100"/>
      <w:ind w:left="1760"/>
    </w:pPr>
    <w:rPr>
      <w:rFonts w:eastAsiaTheme="minorEastAsia"/>
      <w:lang w:val="es-ES" w:eastAsia="es-ES"/>
    </w:rPr>
  </w:style>
  <w:style w:type="paragraph" w:customStyle="1" w:styleId="Normal11">
    <w:name w:val="Normal11"/>
    <w:basedOn w:val="Normal"/>
    <w:qFormat/>
    <w:rsid w:val="009067C1"/>
    <w:pPr>
      <w:autoSpaceDE w:val="0"/>
      <w:autoSpaceDN w:val="0"/>
      <w:adjustRightInd w:val="0"/>
      <w:spacing w:line="276" w:lineRule="auto"/>
      <w:jc w:val="both"/>
    </w:pPr>
    <w:rPr>
      <w:rFonts w:asciiTheme="majorHAnsi" w:eastAsia="Calibri" w:hAnsiTheme="majorHAnsi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5C48"/>
    <w:rPr>
      <w:color w:val="605E5C"/>
      <w:shd w:val="clear" w:color="auto" w:fill="E1DFDD"/>
    </w:rPr>
  </w:style>
  <w:style w:type="paragraph" w:customStyle="1" w:styleId="Puntet">
    <w:name w:val="Puntet"/>
    <w:basedOn w:val="Prrafodelista"/>
    <w:qFormat/>
    <w:rsid w:val="0051022F"/>
    <w:pPr>
      <w:numPr>
        <w:numId w:val="5"/>
      </w:numPr>
      <w:autoSpaceDE w:val="0"/>
      <w:autoSpaceDN w:val="0"/>
      <w:adjustRightInd w:val="0"/>
      <w:spacing w:after="120" w:line="360" w:lineRule="auto"/>
      <w:contextualSpacing w:val="0"/>
      <w:jc w:val="both"/>
    </w:pPr>
    <w:rPr>
      <w:rFonts w:ascii="Arial" w:eastAsia="Times" w:hAnsi="Arial" w:cs="Arial"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94536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81531"/>
    <w:rPr>
      <w:color w:val="605E5C"/>
      <w:shd w:val="clear" w:color="auto" w:fill="E1DFDD"/>
    </w:rPr>
  </w:style>
  <w:style w:type="paragraph" w:customStyle="1" w:styleId="Pargraf-normal">
    <w:name w:val="Paràgraf - normal"/>
    <w:basedOn w:val="Normal"/>
    <w:link w:val="Pargraf-normalCar"/>
    <w:qFormat/>
    <w:rsid w:val="004C58AA"/>
    <w:pPr>
      <w:autoSpaceDE w:val="0"/>
      <w:autoSpaceDN w:val="0"/>
      <w:adjustRightInd w:val="0"/>
      <w:spacing w:before="120" w:after="120" w:line="276" w:lineRule="auto"/>
      <w:jc w:val="both"/>
    </w:pPr>
    <w:rPr>
      <w:rFonts w:ascii="Avenir Book" w:eastAsia="Calibri" w:hAnsi="Avenir Book" w:cs="Times New Roman"/>
    </w:rPr>
  </w:style>
  <w:style w:type="table" w:customStyle="1" w:styleId="TaulaENTORNa3">
    <w:name w:val="Taula ENTORNa3"/>
    <w:basedOn w:val="Tablaconcuadrcula1clara-nfasis3"/>
    <w:uiPriority w:val="99"/>
    <w:rsid w:val="004C58AA"/>
    <w:pPr>
      <w:spacing w:before="40" w:after="40"/>
    </w:pPr>
    <w:rPr>
      <w:rFonts w:ascii="Avenir Book" w:eastAsia="Times" w:hAnsi="Avenir Book" w:cs="Times New Roman"/>
      <w:sz w:val="20"/>
      <w:szCs w:val="20"/>
      <w:lang w:val="en-GB" w:eastAsia="es-ES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A5A5A5" w:themeColor="accent3"/>
        <w:sz w:val="20"/>
      </w:rPr>
      <w:tblPr/>
      <w:tcPr>
        <w:tcBorders>
          <w:bottom w:val="single" w:sz="12" w:space="0" w:color="C9C9C9" w:themeColor="accent3" w:themeTint="99"/>
        </w:tcBorders>
        <w:shd w:val="clear" w:color="auto" w:fill="EDEDED" w:themeFill="accent3" w:themeFillTint="33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-normalCar">
    <w:name w:val="Paràgraf - normal Car"/>
    <w:basedOn w:val="Fuentedeprrafopredeter"/>
    <w:link w:val="Pargraf-normal"/>
    <w:rsid w:val="004C58AA"/>
    <w:rPr>
      <w:rFonts w:ascii="Avenir Book" w:eastAsia="Calibri" w:hAnsi="Avenir Book" w:cs="Times New Roman"/>
      <w:lang w:val="ca-ES"/>
    </w:rPr>
  </w:style>
  <w:style w:type="table" w:styleId="Tablaconcuadrcula1clara-nfasis3">
    <w:name w:val="Grid Table 1 Light Accent 3"/>
    <w:basedOn w:val="Tablanormal"/>
    <w:uiPriority w:val="46"/>
    <w:rsid w:val="004C58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2">
    <w:name w:val="Normal12"/>
    <w:basedOn w:val="Normal"/>
    <w:qFormat/>
    <w:rsid w:val="00482217"/>
    <w:pPr>
      <w:autoSpaceDE w:val="0"/>
      <w:autoSpaceDN w:val="0"/>
      <w:adjustRightInd w:val="0"/>
      <w:spacing w:line="276" w:lineRule="auto"/>
      <w:jc w:val="both"/>
    </w:pPr>
    <w:rPr>
      <w:rFonts w:asciiTheme="majorHAnsi" w:eastAsia="Calibri" w:hAnsiTheme="majorHAnsi"/>
      <w:lang w:val="en-GB"/>
    </w:rPr>
  </w:style>
  <w:style w:type="paragraph" w:customStyle="1" w:styleId="Normal2">
    <w:name w:val="Normal2"/>
    <w:basedOn w:val="Normal"/>
    <w:link w:val="NORMALCar"/>
    <w:rsid w:val="00427C57"/>
    <w:pPr>
      <w:autoSpaceDE w:val="0"/>
      <w:autoSpaceDN w:val="0"/>
      <w:adjustRightInd w:val="0"/>
      <w:spacing w:line="276" w:lineRule="auto"/>
      <w:jc w:val="both"/>
    </w:pPr>
    <w:rPr>
      <w:rFonts w:ascii="Avenir Book" w:eastAsiaTheme="minorEastAsia" w:hAnsi="Avenir Book"/>
      <w:szCs w:val="20"/>
      <w:lang w:val="es-ES" w:eastAsia="es-ES"/>
    </w:rPr>
  </w:style>
  <w:style w:type="character" w:customStyle="1" w:styleId="NORMALCar">
    <w:name w:val="NORMAL Car"/>
    <w:link w:val="Normal2"/>
    <w:rsid w:val="00427C57"/>
    <w:rPr>
      <w:rFonts w:ascii="Avenir Book" w:eastAsiaTheme="minorEastAsia" w:hAnsi="Avenir Book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64F89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64F89"/>
    <w:rPr>
      <w:rFonts w:ascii="Arial" w:eastAsia="Times New Roman" w:hAnsi="Arial" w:cs="Times New Roman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61F3-3D13-4FB3-950E-40A5E9C9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Alícia</dc:creator>
  <cp:keywords/>
  <dc:description/>
  <cp:lastModifiedBy>MªLluna López</cp:lastModifiedBy>
  <cp:revision>62</cp:revision>
  <dcterms:created xsi:type="dcterms:W3CDTF">2021-03-10T10:07:00Z</dcterms:created>
  <dcterms:modified xsi:type="dcterms:W3CDTF">2024-05-26T15:47:00Z</dcterms:modified>
</cp:coreProperties>
</file>