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>«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lang w:val="ca-ES"/>
        </w:rPr>
        <w:t>Exp. 20.../....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val="ca-ES"/>
        </w:rPr>
        <w:t xml:space="preserve">: Proposta econòmica i proposta avaluable mitjançant criteris automàtics  per participar en el procediment obert simplificat abreujat (sumari) per a la contractació del servei ................................. , presentada per .................................":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lang w:val="ca-ES"/>
        </w:rPr>
        <w:t>(cal indicar el/s lot/s a què es presenten)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al contracte de servei ......................................................, es  compromet a portar-la a terme amb subjecció als Plecs de Prescripcions Tècniques Particulars i de Clàusules Administratives Particulars  amb les següents condicions:</w:t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A.- Proposta econòmica:</w:t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S’oferta la quantitat  de ........................ euros més .................... euros d’IVA (..%) el que fa un total de ................ euros.</w:t>
      </w:r>
    </w:p>
    <w:p>
      <w:pPr>
        <w:pStyle w:val="Cuerpodetexto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0"/>
        <w:gridCol w:w="1871"/>
        <w:gridCol w:w="1871"/>
        <w:gridCol w:w="1871"/>
        <w:gridCol w:w="1871"/>
      </w:tblGrid>
      <w:tr>
        <w:trPr/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COMPONENT A SUBMINISTRAR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Preu unitari ofert sense iva</w:t>
            </w:r>
          </w:p>
        </w:tc>
      </w:tr>
      <w:tr>
        <w:trPr/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 SIP gama estàndard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 SIP gama operadora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 sense fils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Auriculars sense fils per a terminals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Commutadors 24p PoE per a terminals SIP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Gateways conversos digital- analògic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13,55 €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78,05 €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menors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363,00 €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ingutdelataula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Cuerpodetexto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</w:r>
    </w:p>
    <w:p>
      <w:pPr>
        <w:pStyle w:val="Cuerpodetexto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</w:r>
    </w:p>
    <w:p>
      <w:pPr>
        <w:pStyle w:val="Cuerpodetexto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Tot i que no és objecte de valoració caldrà indicar l’oferta dels preus unitaris.</w:t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lang w:val="ca"/>
        </w:rPr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Si s’excedeix la quantia del pressupost base de licitació sense IVA, 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lang w:val="ca"/>
        </w:rPr>
        <w:t>.</w:t>
      </w:r>
    </w:p>
    <w:p>
      <w:pPr>
        <w:pStyle w:val="Normal"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lang w:val="ca-ES"/>
        </w:rPr>
        <w:t xml:space="preserve">*** Si s’excedeix la quantia dels preus unitaris màxims sense IVA establerts als plecs, l’oferta serà exclosa. </w:t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rPr>
          <w:rFonts w:ascii="Arial" w:hAnsi="Arial"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single"/>
        </w:rPr>
        <w:t>B.- Criteris automàtics</w:t>
      </w:r>
    </w:p>
    <w:p>
      <w:pPr>
        <w:pStyle w:val="Sumario1"/>
        <w:numPr>
          <w:ilvl w:val="0"/>
          <w:numId w:val="0"/>
        </w:numPr>
        <w:spacing w:lineRule="auto" w:line="276"/>
        <w:ind w:left="624" w:right="0" w:hanging="624"/>
        <w:jc w:val="both"/>
        <w:rPr>
          <w:rFonts w:ascii="Arial" w:hAnsi="Arial" w:eastAsia="NSimSun" w:cs="Arial"/>
          <w:b/>
          <w:b/>
          <w:bCs w:val="false"/>
          <w:i/>
          <w:i/>
          <w:iCs/>
          <w:strike w:val="false"/>
          <w:dstrike w:val="false"/>
          <w:outline w:val="false"/>
          <w:shadow w:val="false"/>
          <w:color w:val="auto"/>
          <w:kern w:val="2"/>
          <w:sz w:val="20"/>
          <w:szCs w:val="20"/>
          <w:u w:val="none"/>
          <w:lang w:val="ca-ES" w:eastAsia="zh-CN" w:bidi="hi-IN"/>
        </w:rPr>
      </w:pPr>
      <w:r>
        <w:rPr>
          <w:rFonts w:eastAsia="NSimSun" w:cs="Arial"/>
          <w:b/>
          <w:bCs w:val="false"/>
          <w:i/>
          <w:iCs/>
          <w:strike w:val="false"/>
          <w:dstrike w:val="false"/>
          <w:outline w:val="false"/>
          <w:shadow w:val="false"/>
          <w:color w:val="auto"/>
          <w:kern w:val="2"/>
          <w:sz w:val="20"/>
          <w:szCs w:val="20"/>
          <w:u w:val="none"/>
          <w:lang w:val="ca-ES" w:eastAsia="zh-CN" w:bidi="hi-IN"/>
        </w:rPr>
      </w:r>
    </w:p>
    <w:p>
      <w:pPr>
        <w:pStyle w:val="Normal"/>
        <w:spacing w:lineRule="auto" w:line="276"/>
        <w:jc w:val="left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0"/>
          <w:szCs w:val="20"/>
          <w:lang w:val="ca-ES"/>
        </w:rPr>
      </w:pPr>
      <w:r>
        <w:rPr>
          <w:rFonts w:eastAsia="NSimSun" w:cs="Arial" w:ascii="Arial" w:hAnsi="Arial"/>
          <w:b/>
          <w:bCs w:val="false"/>
          <w:i/>
          <w:iCs/>
          <w:strike w:val="false"/>
          <w:dstrike w:val="false"/>
          <w:outline w:val="false"/>
          <w:shadow w:val="false"/>
          <w:color w:val="auto"/>
          <w:kern w:val="2"/>
          <w:sz w:val="20"/>
          <w:szCs w:val="20"/>
          <w:u w:val="none"/>
          <w:lang w:val="ca-ES" w:eastAsia="zh-CN" w:bidi="hi-IN"/>
        </w:rPr>
        <w:t>B</w:t>
      </w:r>
      <w:r>
        <w:rPr>
          <w:rFonts w:eastAsia="NSimSun" w:cs="Arial" w:ascii="Arial" w:hAnsi="Arial"/>
          <w:b/>
          <w:bCs w:val="false"/>
          <w:i/>
          <w:iCs/>
          <w:strike w:val="false"/>
          <w:dstrike w:val="false"/>
          <w:outline w:val="false"/>
          <w:shadow w:val="false"/>
          <w:color w:val="auto"/>
          <w:kern w:val="2"/>
          <w:sz w:val="20"/>
          <w:szCs w:val="20"/>
          <w:u w:val="none"/>
          <w:lang w:val="ca-ES" w:eastAsia="zh-CN" w:bidi="hi-IN"/>
        </w:rPr>
        <w:t>2</w:t>
      </w:r>
      <w:r>
        <w:rPr>
          <w:rFonts w:eastAsia="NSimSun" w:cs="Arial" w:ascii="Arial" w:hAnsi="Arial"/>
          <w:b/>
          <w:bCs w:val="false"/>
          <w:i/>
          <w:iCs/>
          <w:strike w:val="false"/>
          <w:dstrike w:val="false"/>
          <w:outline w:val="false"/>
          <w:shadow w:val="false"/>
          <w:color w:val="auto"/>
          <w:kern w:val="2"/>
          <w:sz w:val="20"/>
          <w:szCs w:val="20"/>
          <w:u w:val="none"/>
          <w:lang w:val="ca-ES" w:eastAsia="zh-CN" w:bidi="hi-IN"/>
        </w:rPr>
        <w:t xml:space="preserve"> Hores de formació addicional sense cost</w:t>
      </w:r>
    </w:p>
    <w:p>
      <w:pPr>
        <w:pStyle w:val="Contingutdelataula"/>
        <w:spacing w:lineRule="auto" w:line="276"/>
        <w:jc w:val="both"/>
        <w:rPr>
          <w:rFonts w:ascii="Arial" w:hAnsi="Arial" w:eastAsia="NSimSun" w:cs="Arial"/>
          <w:b/>
          <w:b/>
          <w:bCs w:val="false"/>
          <w:i/>
          <w:i/>
          <w:iCs/>
          <w:strike w:val="false"/>
          <w:dstrike w:val="false"/>
          <w:outline w:val="false"/>
          <w:shadow w:val="false"/>
          <w:color w:val="auto"/>
          <w:kern w:val="2"/>
          <w:sz w:val="22"/>
          <w:szCs w:val="22"/>
          <w:u w:val="none"/>
          <w:lang w:val="ca-ES" w:eastAsia="zh-CN" w:bidi="hi-IN"/>
        </w:rPr>
      </w:pPr>
      <w:r>
        <w:rPr>
          <w:rFonts w:eastAsia="NSimSun" w:cs="Arial"/>
          <w:b/>
          <w:bCs w:val="false"/>
          <w:i/>
          <w:iCs/>
          <w:strike w:val="false"/>
          <w:dstrike w:val="false"/>
          <w:outline w:val="false"/>
          <w:shadow w:val="false"/>
          <w:color w:val="auto"/>
          <w:kern w:val="2"/>
          <w:sz w:val="22"/>
          <w:szCs w:val="22"/>
          <w:u w:val="none"/>
          <w:lang w:val="ca-ES" w:eastAsia="zh-CN" w:bidi="hi-IN"/>
        </w:rPr>
      </w:r>
    </w:p>
    <w:p>
      <w:pPr>
        <w:pStyle w:val="Contingutdelataula"/>
        <w:spacing w:lineRule="auto" w:line="276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2"/>
          <w:szCs w:val="22"/>
          <w:lang w:val="ca-ES"/>
        </w:rPr>
      </w:pPr>
      <w:r>
        <w:rPr>
          <w:rFonts w:eastAsia="NSimSun" w:cs="Arial"/>
          <w:b/>
          <w:bCs w:val="false"/>
          <w:i/>
          <w:iCs/>
          <w:strike w:val="false"/>
          <w:dstrike w:val="false"/>
          <w:outline w:val="false"/>
          <w:shadow w:val="false"/>
          <w:color w:val="auto"/>
          <w:kern w:val="2"/>
          <w:sz w:val="22"/>
          <w:szCs w:val="22"/>
          <w:u w:val="none"/>
          <w:lang w:val="ca-ES" w:eastAsia="zh-CN" w:bidi="hi-IN"/>
        </w:rPr>
        <w:t xml:space="preserve"> </w:t>
      </w:r>
      <w:r>
        <w:rPr>
          <w:rFonts w:eastAsia="NSimSun" w:cs="Arial"/>
          <w:b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lang w:val="ca-ES" w:eastAsia="zh-CN" w:bidi="hi-IN"/>
        </w:rPr>
        <w:t xml:space="preserve">☐ </w:t>
      </w:r>
      <w:r>
        <w:rPr>
          <w:rFonts w:eastAsia="NSimSun" w:cs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auto"/>
          <w:kern w:val="2"/>
          <w:sz w:val="20"/>
          <w:szCs w:val="20"/>
          <w:u w:val="none"/>
          <w:lang w:val="ca-ES" w:eastAsia="zh-CN" w:bidi="hi-IN"/>
        </w:rPr>
        <w:t xml:space="preserve">5 Hores de formació </w:t>
      </w:r>
    </w:p>
    <w:p>
      <w:pPr>
        <w:pStyle w:val="Contingutdelataula"/>
        <w:spacing w:lineRule="auto" w:line="276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0"/>
          <w:szCs w:val="20"/>
          <w:lang w:val="ca-ES"/>
        </w:rPr>
      </w:pPr>
      <w:r>
        <w:rPr>
          <w:rFonts w:eastAsia="NSimSun" w:cs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auto"/>
          <w:kern w:val="2"/>
          <w:sz w:val="22"/>
          <w:szCs w:val="22"/>
          <w:u w:val="none"/>
          <w:lang w:val="ca-ES" w:eastAsia="zh-CN" w:bidi="hi-IN"/>
        </w:rPr>
        <w:t xml:space="preserve"> </w:t>
      </w:r>
      <w:r>
        <w:rPr>
          <w:rFonts w:eastAsia="NSimSun" w:cs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lang w:val="ca-ES" w:eastAsia="zh-CN" w:bidi="hi-IN"/>
        </w:rPr>
        <w:t>☐</w:t>
      </w:r>
      <w:r>
        <w:rPr>
          <w:rFonts w:eastAsia="NSimSun" w:cs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 xml:space="preserve"> </w:t>
      </w:r>
      <w:r>
        <w:rPr>
          <w:rFonts w:eastAsia="NSimSun" w:cs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>10 Hores de formació</w:t>
      </w:r>
    </w:p>
    <w:p>
      <w:pPr>
        <w:pStyle w:val="Contingutdelataula"/>
        <w:spacing w:lineRule="auto" w:line="276"/>
        <w:jc w:val="both"/>
        <w:rPr>
          <w:rFonts w:ascii="Arial" w:hAnsi="Arial" w:eastAsia="NSimSun" w:cs="Arial"/>
          <w:b/>
          <w:b/>
          <w:bCs w:val="false"/>
          <w:i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</w:pPr>
      <w:r>
        <w:rPr>
          <w:rFonts w:eastAsia="NSimSun" w:cs="Arial"/>
          <w:b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</w:r>
    </w:p>
    <w:p>
      <w:pPr>
        <w:pStyle w:val="Contingutdelataula"/>
        <w:spacing w:lineRule="auto" w:line="276"/>
        <w:jc w:val="both"/>
        <w:rPr>
          <w:rFonts w:ascii="Arial" w:hAnsi="Arial" w:eastAsia="NSimSun" w:cs="Arial"/>
          <w:b/>
          <w:b/>
          <w:bCs w:val="false"/>
          <w:i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</w:pPr>
      <w:r>
        <w:rPr>
          <w:rFonts w:eastAsia="NSimSun" w:cs="Arial"/>
          <w:b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0"/>
          <w:szCs w:val="20"/>
        </w:rPr>
      </w:pP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  <w:t>B</w:t>
      </w: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  <w:t>3</w:t>
      </w: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  <w:t xml:space="preserve"> Millora de les característiques tècniques del cablejat de xarxa necessari per la instal·lació en</w:t>
      </w:r>
    </w:p>
    <w:p>
      <w:pPr>
        <w:pStyle w:val="Normal"/>
        <w:spacing w:lineRule="auto" w:line="276"/>
        <w:jc w:val="left"/>
        <w:rPr>
          <w:rFonts w:ascii="Arial" w:hAnsi="Arial" w:eastAsia="NSimSun" w:cs="Arial"/>
          <w:b/>
          <w:b/>
          <w:bCs w:val="false"/>
          <w:i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</w:pPr>
      <w:r>
        <w:rPr>
          <w:rFonts w:eastAsia="NSimSun" w:cs="Arial" w:ascii="Arial" w:hAnsi="Arial"/>
          <w:b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>distàncies inferiors a 80 metres</w:t>
      </w:r>
    </w:p>
    <w:p>
      <w:pPr>
        <w:pStyle w:val="Contingutdelataula"/>
        <w:spacing w:lineRule="auto" w:line="276"/>
        <w:jc w:val="both"/>
        <w:rPr>
          <w:rFonts w:ascii="Arial" w:hAnsi="Arial" w:eastAsia="NSimSun" w:cs="Arial"/>
          <w:b/>
          <w:b/>
          <w:bCs w:val="false"/>
          <w:i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</w:pPr>
      <w:r>
        <w:rPr>
          <w:rFonts w:eastAsia="NSimSun" w:cs="Arial"/>
          <w:b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0"/>
          <w:szCs w:val="20"/>
        </w:rPr>
      </w:pPr>
      <w:r>
        <w:rPr>
          <w:rFonts w:eastAsia="NSimSun" w:cs="Arial" w:ascii="Arial" w:hAnsi="Arial"/>
          <w:b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lang w:val="ca-ES" w:eastAsia="zh-CN" w:bidi="hi-IN"/>
        </w:rPr>
        <w:t>☐</w:t>
      </w:r>
      <w:r>
        <w:rPr>
          <w:rFonts w:ascii="Arial" w:hAnsi="Arial"/>
          <w:b w:val="false"/>
          <w:bCs w:val="false"/>
          <w:i/>
          <w:iCs/>
          <w:color w:val="auto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/>
          <w:iCs/>
          <w:color w:val="auto"/>
          <w:sz w:val="20"/>
          <w:szCs w:val="20"/>
        </w:rPr>
        <w:t xml:space="preserve">Cablejat ethernet CAT6E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0"/>
          <w:szCs w:val="20"/>
        </w:rPr>
      </w:pPr>
      <w:r>
        <w:rPr>
          <w:rFonts w:eastAsia="NSimSun" w:cs="Arial" w:ascii="Arial" w:hAnsi="Arial"/>
          <w:b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lang w:val="ca-ES" w:eastAsia="zh-CN" w:bidi="hi-IN"/>
        </w:rPr>
        <w:t xml:space="preserve">☐ </w:t>
      </w: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 xml:space="preserve">Enllaç de fibra òptica </w:t>
      </w:r>
    </w:p>
    <w:p>
      <w:pPr>
        <w:pStyle w:val="Sumario1"/>
        <w:numPr>
          <w:ilvl w:val="0"/>
          <w:numId w:val="0"/>
        </w:numPr>
        <w:spacing w:lineRule="auto" w:line="276"/>
        <w:ind w:left="624" w:right="0" w:hanging="624"/>
        <w:jc w:val="both"/>
        <w:rPr>
          <w:rFonts w:ascii="Arial" w:hAnsi="Arial"/>
          <w:b/>
          <w:b/>
          <w:bCs w:val="false"/>
          <w:i/>
          <w:i/>
          <w:iCs/>
          <w:color w:val="auto"/>
          <w:sz w:val="20"/>
          <w:szCs w:val="20"/>
        </w:rPr>
      </w:pPr>
      <w:r>
        <w:rPr>
          <w:b/>
          <w:bCs w:val="false"/>
          <w:i/>
          <w:iCs/>
          <w:color w:val="auto"/>
          <w:sz w:val="20"/>
          <w:szCs w:val="20"/>
        </w:rPr>
      </w:r>
    </w:p>
    <w:p>
      <w:pPr>
        <w:pStyle w:val="Normal"/>
        <w:jc w:val="left"/>
        <w:rPr>
          <w:rFonts w:ascii="Arial" w:hAnsi="Arial"/>
          <w:b/>
          <w:b/>
          <w:bCs w:val="false"/>
          <w:i/>
          <w:i/>
          <w:iCs/>
          <w:color w:val="auto"/>
          <w:sz w:val="20"/>
          <w:szCs w:val="20"/>
        </w:rPr>
      </w:pP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0"/>
          <w:szCs w:val="20"/>
        </w:rPr>
      </w:pP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  <w:t>B</w:t>
      </w: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  <w:t>4</w:t>
      </w: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  <w:t xml:space="preserve"> Migració sense tall de subministrament</w:t>
      </w:r>
    </w:p>
    <w:p>
      <w:pPr>
        <w:pStyle w:val="Normal"/>
        <w:jc w:val="left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0"/>
          <w:szCs w:val="20"/>
          <w:lang w:val="ca-ES"/>
        </w:rPr>
      </w:pPr>
      <w:r>
        <w:rPr>
          <w:rFonts w:eastAsia="NSimSun" w:cs="Arial" w:ascii="Arial" w:hAnsi="Arial"/>
          <w:b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lang w:val="ca-ES" w:eastAsia="zh-CN" w:bidi="hi-IN"/>
        </w:rPr>
        <w:t>☐</w:t>
      </w:r>
      <w:r>
        <w:rPr>
          <w:rFonts w:cs="Arial" w:ascii="Arial" w:hAnsi="Arial"/>
          <w:b w:val="false"/>
          <w:bCs w:val="false"/>
          <w:i/>
          <w:iCs/>
          <w:color w:val="auto"/>
          <w:sz w:val="20"/>
          <w:szCs w:val="20"/>
          <w:lang w:val="ca-ES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color w:val="auto"/>
          <w:sz w:val="20"/>
          <w:szCs w:val="20"/>
          <w:lang w:val="ca-ES"/>
        </w:rPr>
        <w:t>Migració sense tall de subministrament</w:t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 w:val="false"/>
          <w:i/>
          <w:i/>
          <w:iCs/>
          <w:color w:val="auto"/>
          <w:sz w:val="20"/>
          <w:szCs w:val="20"/>
        </w:rPr>
      </w:pP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</w:r>
    </w:p>
    <w:p>
      <w:pPr>
        <w:pStyle w:val="Normal"/>
        <w:jc w:val="left"/>
        <w:rPr>
          <w:rFonts w:ascii="Arial" w:hAnsi="Arial"/>
          <w:b/>
          <w:b/>
          <w:bCs w:val="false"/>
          <w:i/>
          <w:i/>
          <w:iCs/>
          <w:color w:val="auto"/>
          <w:sz w:val="20"/>
          <w:szCs w:val="20"/>
        </w:rPr>
      </w:pP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0"/>
          <w:szCs w:val="20"/>
        </w:rPr>
      </w:pP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  <w:t>B</w:t>
      </w: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  <w:t>5</w:t>
      </w:r>
      <w:r>
        <w:rPr>
          <w:rFonts w:ascii="Arial" w:hAnsi="Arial"/>
          <w:b/>
          <w:bCs w:val="false"/>
          <w:i/>
          <w:iCs/>
          <w:color w:val="auto"/>
          <w:sz w:val="20"/>
          <w:szCs w:val="20"/>
        </w:rPr>
        <w:t xml:space="preserve"> Ampliació del número de terminals</w:t>
      </w:r>
    </w:p>
    <w:p>
      <w:pPr>
        <w:pStyle w:val="Normal"/>
        <w:jc w:val="left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0"/>
          <w:szCs w:val="20"/>
          <w:lang w:val="ca-ES"/>
        </w:rPr>
      </w:pP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 xml:space="preserve">☐ </w:t>
      </w: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>1</w:t>
      </w:r>
      <w:r>
        <w:rPr>
          <w:rFonts w:cs="Arial" w:ascii="Arial" w:hAnsi="Arial"/>
          <w:b w:val="false"/>
          <w:bCs w:val="false"/>
          <w:i/>
          <w:iCs/>
          <w:color w:val="auto"/>
          <w:sz w:val="20"/>
          <w:szCs w:val="20"/>
          <w:lang w:val="ca-ES"/>
        </w:rPr>
        <w:t xml:space="preserve"> Terminal addicional estàndard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0"/>
          <w:szCs w:val="20"/>
          <w:lang w:val="ca-ES"/>
        </w:rPr>
      </w:pP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 xml:space="preserve">☐ </w:t>
      </w: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>2</w:t>
      </w:r>
      <w:r>
        <w:rPr>
          <w:rFonts w:cs="Arial" w:ascii="Arial" w:hAnsi="Arial"/>
          <w:b w:val="false"/>
          <w:bCs w:val="false"/>
          <w:i/>
          <w:iCs/>
          <w:color w:val="auto"/>
          <w:sz w:val="20"/>
          <w:szCs w:val="20"/>
          <w:lang w:val="ca-ES"/>
        </w:rPr>
        <w:t xml:space="preserve"> Terminals addicionals estàndard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0"/>
          <w:szCs w:val="20"/>
          <w:lang w:val="ca-ES"/>
        </w:rPr>
      </w:pP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 xml:space="preserve">☐ </w:t>
      </w: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>3</w:t>
      </w:r>
      <w:r>
        <w:rPr>
          <w:rFonts w:cs="Arial" w:ascii="Arial" w:hAnsi="Arial"/>
          <w:b w:val="false"/>
          <w:bCs w:val="false"/>
          <w:i/>
          <w:iCs/>
          <w:color w:val="auto"/>
          <w:sz w:val="20"/>
          <w:szCs w:val="20"/>
          <w:lang w:val="ca-ES"/>
        </w:rPr>
        <w:t xml:space="preserve"> Terminals addicionals estàndard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0"/>
          <w:szCs w:val="20"/>
          <w:lang w:val="ca-ES"/>
        </w:rPr>
      </w:pP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 xml:space="preserve">☐ </w:t>
      </w: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>4</w:t>
      </w:r>
      <w:r>
        <w:rPr>
          <w:rFonts w:cs="Arial" w:ascii="Arial" w:hAnsi="Arial"/>
          <w:b w:val="false"/>
          <w:bCs w:val="false"/>
          <w:i/>
          <w:iCs/>
          <w:color w:val="auto"/>
          <w:sz w:val="20"/>
          <w:szCs w:val="20"/>
          <w:lang w:val="ca-ES"/>
        </w:rPr>
        <w:t xml:space="preserve"> Terminals addicionals estàndard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0"/>
          <w:szCs w:val="20"/>
          <w:lang w:val="ca-ES"/>
        </w:rPr>
      </w:pP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 xml:space="preserve">☐ </w:t>
      </w: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lang w:val="ca-ES" w:eastAsia="zh-CN" w:bidi="hi-IN"/>
        </w:rPr>
        <w:t>5</w:t>
      </w:r>
      <w:r>
        <w:rPr>
          <w:rFonts w:cs="Arial" w:ascii="Arial" w:hAnsi="Arial"/>
          <w:b w:val="false"/>
          <w:bCs w:val="false"/>
          <w:i/>
          <w:iCs/>
          <w:color w:val="auto"/>
          <w:sz w:val="20"/>
          <w:szCs w:val="20"/>
          <w:lang w:val="ca-ES"/>
        </w:rPr>
        <w:t xml:space="preserve"> Terminals addicionals estàndard</w:t>
      </w:r>
    </w:p>
    <w:p>
      <w:pPr>
        <w:pStyle w:val="Sumario1"/>
        <w:numPr>
          <w:ilvl w:val="0"/>
          <w:numId w:val="0"/>
        </w:numPr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/>
          <w:b/>
          <w:bCs/>
          <w:sz w:val="22"/>
          <w:szCs w:val="22"/>
          <w:lang w:val="ca-ES"/>
        </w:rPr>
      </w:r>
    </w:p>
    <w:p>
      <w:pPr>
        <w:pStyle w:val="Subttulo"/>
        <w:widowControl/>
        <w:numPr>
          <w:ilvl w:val="0"/>
          <w:numId w:val="0"/>
        </w:numPr>
        <w:bidi w:val="0"/>
        <w:spacing w:lineRule="auto" w:line="276" w:before="57" w:after="57"/>
        <w:ind w:left="170" w:right="0" w:hanging="0"/>
        <w:jc w:val="both"/>
        <w:rPr>
          <w:rStyle w:val="Fuentedeprrafopredeter1"/>
          <w:rFonts w:eastAsia="Helv" w:cs="Helv"/>
          <w:b w:val="false"/>
          <w:b w:val="false"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eastAsia="es-ES"/>
        </w:rPr>
      </w:pPr>
      <w:r>
        <w:rPr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eastAsia="es-ES"/>
        </w:rPr>
      </w:r>
    </w:p>
    <w:p>
      <w:pPr>
        <w:pStyle w:val="Subttulo"/>
        <w:widowControl/>
        <w:numPr>
          <w:ilvl w:val="0"/>
          <w:numId w:val="2"/>
        </w:numPr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u w:val="none"/>
          <w:lang w:val="ca-ES" w:eastAsia="zh-CN" w:bidi="hi-IN"/>
        </w:rPr>
        <w:t>.</w:t>
      </w:r>
      <w:r>
        <w:rPr>
          <w:rFonts w:eastAsia="Times New Roman" w:cs="Arial"/>
          <w:b w:val="false"/>
          <w:bCs w:val="false"/>
          <w:i/>
          <w:iCs/>
          <w:color w:val="000000"/>
          <w:sz w:val="22"/>
          <w:szCs w:val="22"/>
          <w:u w:val="none"/>
          <w:lang w:val="ca-ES" w:eastAsia="zh-CN" w:bidi="hi-IN"/>
        </w:rPr>
        <w:t>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qFormat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character" w:styleId="Smbolsdenumeraci">
    <w:name w:val="Símbols de numeració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Encapalament">
    <w:name w:val="Encapçalament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  <w:jc w:val="left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jc w:val="left"/>
      <w:outlineLvl w:val="0"/>
    </w:pPr>
    <w:rPr>
      <w:rFonts w:ascii="Arial" w:hAnsi="Arial"/>
      <w:b w:val="false"/>
      <w:sz w:val="22"/>
    </w:rPr>
  </w:style>
  <w:style w:type="paragraph" w:styleId="Default">
    <w:name w:val="Default"/>
    <w:qFormat/>
    <w:pPr>
      <w:widowControl w:val="false"/>
      <w:bidi w:val="0"/>
      <w:spacing w:before="0" w:after="0"/>
      <w:jc w:val="left"/>
    </w:pPr>
    <w:rPr>
      <w:rFonts w:ascii="Arial" w:hAnsi="Arial" w:eastAsia="Arial Unicode MS" w:cs="Arial Unicode MS"/>
      <w:color w:val="000000"/>
      <w:kern w:val="0"/>
      <w:sz w:val="24"/>
      <w:szCs w:val="24"/>
      <w:lang w:val="es-ES" w:eastAsia="zh-CN" w:bidi="hi-IN"/>
    </w:rPr>
  </w:style>
  <w:style w:type="paragraph" w:styleId="Contingutdelataula">
    <w:name w:val="Contingut de la tau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Vieta">
    <w:name w:val="Viñeta –"/>
    <w:qFormat/>
  </w:style>
  <w:style w:type="numbering" w:styleId="Llista2">
    <w:name w:val="Llista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2</Pages>
  <Words>379</Words>
  <Characters>2238</Characters>
  <CharactersWithSpaces>2567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2024-07-09T08:35:55Z</dcterms:created>
  <dc:creator/>
  <dc:description/>
  <dc:language>es-ES</dc:language>
  <cp:lastModifiedBy/>
  <dcterms:modified xsi:type="dcterms:W3CDTF">2024-07-12T13:12:51Z</dcterms:modified>
  <cp:revision>5</cp:revision>
  <dc:subject/>
  <dc:title>Carta Contractació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