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CB7" w:rsidRPr="00E67CB7" w:rsidRDefault="00A85F21" w:rsidP="00E67CB7">
      <w:pPr>
        <w:shd w:val="clear" w:color="auto" w:fill="D9D9D9" w:themeFill="background1" w:themeFillShade="D9"/>
        <w:contextualSpacing/>
        <w:rPr>
          <w:rFonts w:ascii="Calibri" w:eastAsia="Calibri" w:hAnsi="Calibri" w:cs="Arial"/>
          <w:b/>
          <w:color w:val="000000"/>
          <w:sz w:val="40"/>
          <w:szCs w:val="40"/>
          <w:lang w:val="ca-ES"/>
        </w:rPr>
      </w:pPr>
      <w:bookmarkStart w:id="0" w:name="_Toc10194711"/>
      <w:r w:rsidRPr="00E67CB7">
        <w:rPr>
          <w:rFonts w:ascii="Calibri" w:eastAsia="Calibri" w:hAnsi="Calibri" w:cs="Arial"/>
          <w:b/>
          <w:color w:val="000000"/>
          <w:sz w:val="40"/>
          <w:szCs w:val="40"/>
          <w:lang w:val="ca-ES"/>
        </w:rPr>
        <w:t>ANNEX</w:t>
      </w:r>
      <w:r w:rsidR="00A10E57" w:rsidRPr="00E67CB7">
        <w:rPr>
          <w:rFonts w:ascii="Calibri" w:eastAsia="Calibri" w:hAnsi="Calibri" w:cs="Arial"/>
          <w:b/>
          <w:color w:val="000000"/>
          <w:sz w:val="40"/>
          <w:szCs w:val="40"/>
          <w:lang w:val="ca-ES"/>
        </w:rPr>
        <w:t xml:space="preserve"> 10</w:t>
      </w:r>
    </w:p>
    <w:p w:rsidR="00A85F21" w:rsidRPr="00E67CB7" w:rsidRDefault="00B571CC" w:rsidP="00E67CB7">
      <w:pPr>
        <w:shd w:val="clear" w:color="auto" w:fill="D9D9D9" w:themeFill="background1" w:themeFillShade="D9"/>
        <w:contextualSpacing/>
        <w:rPr>
          <w:rFonts w:ascii="Calibri" w:eastAsia="Calibri" w:hAnsi="Calibri" w:cs="Arial"/>
          <w:b/>
          <w:color w:val="000000"/>
          <w:sz w:val="40"/>
          <w:szCs w:val="40"/>
          <w:lang w:val="ca-ES"/>
        </w:rPr>
      </w:pPr>
      <w:r w:rsidRPr="00E67CB7">
        <w:rPr>
          <w:rFonts w:ascii="Calibri" w:eastAsia="Calibri" w:hAnsi="Calibri" w:cs="Arial"/>
          <w:b/>
          <w:color w:val="000000"/>
          <w:sz w:val="40"/>
          <w:szCs w:val="40"/>
          <w:lang w:val="ca-ES"/>
        </w:rPr>
        <w:t>RÈGIM D’</w:t>
      </w:r>
      <w:r w:rsidR="00A85F21" w:rsidRPr="00E67CB7">
        <w:rPr>
          <w:rFonts w:ascii="Calibri" w:eastAsia="Calibri" w:hAnsi="Calibri" w:cs="Arial"/>
          <w:b/>
          <w:color w:val="000000"/>
          <w:sz w:val="40"/>
          <w:szCs w:val="40"/>
          <w:lang w:val="ca-ES"/>
        </w:rPr>
        <w:t>INCOMPLIMENTS</w:t>
      </w:r>
      <w:bookmarkEnd w:id="0"/>
      <w:r w:rsidR="00A85F21" w:rsidRPr="00E67CB7">
        <w:rPr>
          <w:rFonts w:ascii="Calibri" w:eastAsia="Calibri" w:hAnsi="Calibri" w:cs="Arial"/>
          <w:b/>
          <w:color w:val="000000"/>
          <w:sz w:val="40"/>
          <w:szCs w:val="40"/>
          <w:lang w:val="ca-ES"/>
        </w:rPr>
        <w:t xml:space="preserve"> I </w:t>
      </w:r>
      <w:r w:rsidRPr="00E67CB7">
        <w:rPr>
          <w:rFonts w:ascii="Calibri" w:eastAsia="Calibri" w:hAnsi="Calibri" w:cs="Arial"/>
          <w:b/>
          <w:color w:val="000000"/>
          <w:sz w:val="40"/>
          <w:szCs w:val="40"/>
          <w:lang w:val="ca-ES"/>
        </w:rPr>
        <w:t xml:space="preserve">APLICACIÓ DE </w:t>
      </w:r>
      <w:r w:rsidR="00A85F21" w:rsidRPr="00E67CB7">
        <w:rPr>
          <w:rFonts w:ascii="Calibri" w:eastAsia="Calibri" w:hAnsi="Calibri" w:cs="Arial"/>
          <w:b/>
          <w:color w:val="000000"/>
          <w:sz w:val="40"/>
          <w:szCs w:val="40"/>
          <w:lang w:val="ca-ES"/>
        </w:rPr>
        <w:t>PENALITATS</w:t>
      </w:r>
    </w:p>
    <w:p w:rsidR="00A85F21" w:rsidRDefault="00A85F21" w:rsidP="00A85F21">
      <w:pPr>
        <w:jc w:val="both"/>
        <w:rPr>
          <w:rFonts w:ascii="Calibri Light" w:hAnsi="Calibri Light" w:cs="Arial"/>
          <w:sz w:val="22"/>
          <w:szCs w:val="22"/>
          <w:lang w:val="ca-ES"/>
        </w:rPr>
      </w:pPr>
    </w:p>
    <w:p w:rsidR="00E67CB7" w:rsidRDefault="00E67CB7" w:rsidP="00E67CB7">
      <w:pPr>
        <w:jc w:val="both"/>
        <w:rPr>
          <w:rFonts w:ascii="Calibri Light" w:hAnsi="Calibri Light" w:cs="Arial"/>
        </w:rPr>
      </w:pPr>
      <w:r>
        <w:rPr>
          <w:rFonts w:ascii="Calibri Light" w:hAnsi="Calibri Light" w:cs="Arial"/>
        </w:rPr>
        <w:t>CO/AH01/1101400393/24/PS</w:t>
      </w:r>
    </w:p>
    <w:p w:rsidR="00E67CB7" w:rsidRPr="003D416E" w:rsidRDefault="00E67CB7" w:rsidP="00A85F21">
      <w:pPr>
        <w:jc w:val="both"/>
        <w:rPr>
          <w:rFonts w:ascii="Calibri Light" w:hAnsi="Calibri Light" w:cs="Arial"/>
          <w:sz w:val="22"/>
          <w:szCs w:val="22"/>
          <w:lang w:val="ca-ES"/>
        </w:rPr>
      </w:pPr>
    </w:p>
    <w:p w:rsidR="00A0641B" w:rsidRPr="00602B8A" w:rsidRDefault="00A0641B" w:rsidP="00602B8A">
      <w:pPr>
        <w:pStyle w:val="Pargrafdellista"/>
        <w:numPr>
          <w:ilvl w:val="0"/>
          <w:numId w:val="12"/>
        </w:numPr>
        <w:jc w:val="both"/>
        <w:rPr>
          <w:rFonts w:ascii="Calibri Light" w:hAnsi="Calibri Light" w:cs="Arial"/>
          <w:b/>
          <w:sz w:val="22"/>
          <w:szCs w:val="22"/>
          <w:lang w:val="ca-ES"/>
        </w:rPr>
      </w:pPr>
      <w:r w:rsidRPr="00602B8A">
        <w:rPr>
          <w:rFonts w:ascii="Calibri Light" w:hAnsi="Calibri Light" w:cs="Arial"/>
          <w:b/>
          <w:sz w:val="22"/>
          <w:szCs w:val="22"/>
          <w:lang w:val="ca-ES"/>
        </w:rPr>
        <w:t xml:space="preserve">Són supòsits d’incompliments: </w:t>
      </w:r>
    </w:p>
    <w:p w:rsidR="00A0641B" w:rsidRDefault="00A0641B" w:rsidP="00A0641B">
      <w:pPr>
        <w:jc w:val="both"/>
        <w:rPr>
          <w:rFonts w:ascii="Calibri Light" w:hAnsi="Calibri Light" w:cs="Arial"/>
          <w:sz w:val="22"/>
          <w:szCs w:val="22"/>
          <w:lang w:val="ca-ES"/>
        </w:rPr>
      </w:pPr>
    </w:p>
    <w:p w:rsidR="00602B8A" w:rsidRPr="001E6F4C" w:rsidRDefault="00602B8A" w:rsidP="00602B8A">
      <w:pPr>
        <w:pStyle w:val="Pargrafdel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 xml:space="preserve">Incompliment de les </w:t>
      </w:r>
      <w:r w:rsidRPr="001E6F4C">
        <w:rPr>
          <w:rFonts w:ascii="Calibri Light" w:hAnsi="Calibri Light" w:cs="Arial"/>
          <w:b/>
          <w:sz w:val="22"/>
          <w:szCs w:val="22"/>
          <w:lang w:val="ca-ES"/>
        </w:rPr>
        <w:t>condicions especials i les clàusules essencials</w:t>
      </w:r>
      <w:r w:rsidRPr="001E6F4C">
        <w:rPr>
          <w:rFonts w:ascii="Calibri Light" w:hAnsi="Calibri Light" w:cs="Arial"/>
          <w:sz w:val="22"/>
          <w:szCs w:val="22"/>
          <w:lang w:val="ca-ES"/>
        </w:rPr>
        <w:t xml:space="preserve"> del contracte</w:t>
      </w:r>
    </w:p>
    <w:p w:rsidR="00602B8A" w:rsidRPr="001E6F4C" w:rsidRDefault="00602B8A" w:rsidP="00602B8A">
      <w:pPr>
        <w:ind w:left="567" w:hanging="283"/>
        <w:jc w:val="both"/>
        <w:rPr>
          <w:rFonts w:ascii="Calibri Light" w:hAnsi="Calibri Light" w:cs="Arial"/>
          <w:sz w:val="22"/>
          <w:szCs w:val="22"/>
          <w:lang w:val="ca-ES"/>
        </w:rPr>
      </w:pPr>
    </w:p>
    <w:p w:rsidR="00602B8A" w:rsidRPr="001E6F4C" w:rsidRDefault="00602B8A" w:rsidP="00602B8A">
      <w:pPr>
        <w:ind w:left="567"/>
        <w:jc w:val="both"/>
        <w:rPr>
          <w:rFonts w:ascii="Calibri Light" w:hAnsi="Calibri Light" w:cs="Arial"/>
          <w:sz w:val="22"/>
          <w:szCs w:val="22"/>
          <w:lang w:val="ca-ES"/>
        </w:rPr>
      </w:pPr>
      <w:r w:rsidRPr="001E6F4C">
        <w:rPr>
          <w:rFonts w:ascii="Calibri Light" w:hAnsi="Calibri Light" w:cs="Arial"/>
          <w:sz w:val="22"/>
          <w:szCs w:val="22"/>
          <w:lang w:val="ca-ES"/>
        </w:rPr>
        <w:t xml:space="preserve">S’entén que s’ha incorregut en un incompliment de les condicions especials i essencials del contracte, establertes a </w:t>
      </w:r>
      <w:r w:rsidRPr="001E6F4C">
        <w:rPr>
          <w:rFonts w:ascii="Calibri Light" w:hAnsi="Calibri Light" w:cs="Arial"/>
          <w:b/>
          <w:sz w:val="22"/>
          <w:szCs w:val="22"/>
          <w:lang w:val="ca-ES"/>
        </w:rPr>
        <w:t>l’annex 8</w:t>
      </w:r>
      <w:r w:rsidRPr="001E6F4C">
        <w:rPr>
          <w:rFonts w:ascii="Calibri Light" w:hAnsi="Calibri Light" w:cs="Arial"/>
          <w:sz w:val="22"/>
          <w:szCs w:val="22"/>
          <w:lang w:val="ca-ES"/>
        </w:rPr>
        <w:t>, quan l’òrgan de contractació identifiqui que l’empresa contractista està incursa en qualsevol de les circumstàncies allà determinades.</w:t>
      </w:r>
    </w:p>
    <w:p w:rsidR="00602B8A" w:rsidRPr="001E6F4C" w:rsidRDefault="00602B8A" w:rsidP="00602B8A">
      <w:pPr>
        <w:pStyle w:val="Pargrafdellista"/>
        <w:ind w:left="567" w:hanging="283"/>
        <w:jc w:val="both"/>
        <w:rPr>
          <w:rFonts w:ascii="Calibri Light" w:hAnsi="Calibri Light"/>
        </w:rPr>
      </w:pPr>
    </w:p>
    <w:p w:rsidR="00602B8A" w:rsidRPr="001E6F4C" w:rsidRDefault="00602B8A" w:rsidP="00602B8A">
      <w:pPr>
        <w:ind w:left="567"/>
        <w:jc w:val="both"/>
        <w:rPr>
          <w:rFonts w:ascii="Calibri Light" w:hAnsi="Calibri Light" w:cs="Arial"/>
          <w:sz w:val="22"/>
          <w:szCs w:val="22"/>
          <w:lang w:val="ca-ES"/>
        </w:rPr>
      </w:pPr>
      <w:r w:rsidRPr="001E6F4C">
        <w:rPr>
          <w:rFonts w:ascii="Calibri Light" w:hAnsi="Calibri Light"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A0641B" w:rsidRDefault="00A0641B" w:rsidP="00A0641B">
      <w:pPr>
        <w:jc w:val="both"/>
        <w:rPr>
          <w:rFonts w:ascii="Calibri Light" w:hAnsi="Calibri Light" w:cs="Arial"/>
          <w:sz w:val="22"/>
          <w:szCs w:val="22"/>
          <w:lang w:val="ca-ES"/>
        </w:rPr>
      </w:pPr>
    </w:p>
    <w:p w:rsidR="001F3C29" w:rsidRDefault="001F3C29" w:rsidP="001F3C29">
      <w:pPr>
        <w:jc w:val="both"/>
        <w:rPr>
          <w:rFonts w:ascii="Calibri Light" w:hAnsi="Calibri Light" w:cs="Arial"/>
          <w:sz w:val="22"/>
          <w:szCs w:val="22"/>
          <w:lang w:val="ca-ES"/>
        </w:rPr>
      </w:pPr>
      <w:r w:rsidRPr="001F3C29">
        <w:rPr>
          <w:rFonts w:ascii="Calibri Light" w:hAnsi="Calibri Light" w:cs="Arial"/>
          <w:sz w:val="22"/>
          <w:szCs w:val="22"/>
          <w:lang w:val="ca-ES"/>
        </w:rPr>
        <w:t>Són causes de resolució del contracte d’obres les següents:</w:t>
      </w:r>
    </w:p>
    <w:p w:rsidR="001F3C29" w:rsidRPr="001F3C29" w:rsidRDefault="001F3C29" w:rsidP="001F3C29">
      <w:pPr>
        <w:jc w:val="both"/>
        <w:rPr>
          <w:rFonts w:ascii="Calibri Light" w:hAnsi="Calibri Light" w:cs="Arial"/>
          <w:sz w:val="22"/>
          <w:szCs w:val="22"/>
          <w:lang w:val="ca-ES"/>
        </w:rPr>
      </w:pPr>
    </w:p>
    <w:p w:rsidR="001F3C29" w:rsidRPr="001F3C29" w:rsidRDefault="001F3C29" w:rsidP="001F3C29">
      <w:pPr>
        <w:pStyle w:val="Pargrafdellista"/>
        <w:numPr>
          <w:ilvl w:val="0"/>
          <w:numId w:val="22"/>
        </w:numPr>
        <w:ind w:left="567" w:hanging="283"/>
        <w:jc w:val="both"/>
        <w:rPr>
          <w:rFonts w:ascii="Calibri Light" w:hAnsi="Calibri Light" w:cs="Arial"/>
          <w:sz w:val="22"/>
          <w:szCs w:val="22"/>
          <w:lang w:val="ca-ES"/>
        </w:rPr>
      </w:pPr>
      <w:r w:rsidRPr="001F3C29">
        <w:rPr>
          <w:rFonts w:ascii="Calibri Light" w:hAnsi="Calibri Light" w:cs="Arial"/>
          <w:sz w:val="22"/>
          <w:szCs w:val="22"/>
          <w:lang w:val="ca-ES"/>
        </w:rPr>
        <w:t>La demora injustificada en la comprovació de</w:t>
      </w:r>
      <w:bookmarkStart w:id="1" w:name="_GoBack"/>
      <w:bookmarkEnd w:id="1"/>
      <w:r w:rsidRPr="001F3C29">
        <w:rPr>
          <w:rFonts w:ascii="Calibri Light" w:hAnsi="Calibri Light" w:cs="Arial"/>
          <w:sz w:val="22"/>
          <w:szCs w:val="22"/>
          <w:lang w:val="ca-ES"/>
        </w:rPr>
        <w:t>l replantejament.</w:t>
      </w:r>
    </w:p>
    <w:p w:rsidR="001F3C29" w:rsidRPr="001F3C29" w:rsidRDefault="001F3C29" w:rsidP="001F3C29">
      <w:pPr>
        <w:pStyle w:val="Pargrafdellista"/>
        <w:numPr>
          <w:ilvl w:val="0"/>
          <w:numId w:val="22"/>
        </w:numPr>
        <w:ind w:left="567" w:hanging="283"/>
        <w:jc w:val="both"/>
        <w:rPr>
          <w:rFonts w:ascii="Calibri Light" w:hAnsi="Calibri Light" w:cs="Arial"/>
          <w:sz w:val="22"/>
          <w:szCs w:val="22"/>
          <w:lang w:val="ca-ES"/>
        </w:rPr>
      </w:pPr>
      <w:r w:rsidRPr="001F3C29">
        <w:rPr>
          <w:rFonts w:ascii="Calibri Light" w:hAnsi="Calibri Light" w:cs="Arial"/>
          <w:sz w:val="22"/>
          <w:szCs w:val="22"/>
          <w:lang w:val="ca-ES"/>
        </w:rPr>
        <w:t>La suspensió de la iniciació de les obres per un termini superior a quatre mesos.</w:t>
      </w:r>
    </w:p>
    <w:p w:rsidR="001F3C29" w:rsidRPr="001F3C29" w:rsidRDefault="001F3C29" w:rsidP="001F3C29">
      <w:pPr>
        <w:pStyle w:val="Pargrafdellista"/>
        <w:numPr>
          <w:ilvl w:val="0"/>
          <w:numId w:val="22"/>
        </w:numPr>
        <w:ind w:left="567" w:hanging="283"/>
        <w:jc w:val="both"/>
        <w:rPr>
          <w:rFonts w:ascii="Calibri Light" w:hAnsi="Calibri Light" w:cs="Arial"/>
          <w:sz w:val="22"/>
          <w:szCs w:val="22"/>
          <w:lang w:val="ca-ES"/>
        </w:rPr>
      </w:pPr>
      <w:r w:rsidRPr="001F3C29">
        <w:rPr>
          <w:rFonts w:ascii="Calibri Light" w:hAnsi="Calibri Light" w:cs="Arial"/>
          <w:sz w:val="22"/>
          <w:szCs w:val="22"/>
          <w:lang w:val="ca-ES"/>
        </w:rPr>
        <w:t xml:space="preserve">La suspensió de les obres per un termini superior a vuit mesos per part de </w:t>
      </w:r>
      <w:r>
        <w:rPr>
          <w:rFonts w:ascii="Calibri Light" w:hAnsi="Calibri Light" w:cs="Arial"/>
          <w:sz w:val="22"/>
          <w:szCs w:val="22"/>
          <w:lang w:val="ca-ES"/>
        </w:rPr>
        <w:t>l’ICS.</w:t>
      </w:r>
    </w:p>
    <w:p w:rsidR="001F3C29" w:rsidRDefault="001F3C29" w:rsidP="001F3C29">
      <w:pPr>
        <w:pStyle w:val="Pargrafdellista"/>
        <w:numPr>
          <w:ilvl w:val="0"/>
          <w:numId w:val="22"/>
        </w:numPr>
        <w:ind w:left="567" w:hanging="283"/>
        <w:jc w:val="both"/>
        <w:rPr>
          <w:rFonts w:ascii="Calibri Light" w:hAnsi="Calibri Light" w:cs="Arial"/>
          <w:sz w:val="22"/>
          <w:szCs w:val="22"/>
          <w:lang w:val="ca-ES"/>
        </w:rPr>
      </w:pPr>
      <w:r w:rsidRPr="001F3C29">
        <w:rPr>
          <w:rFonts w:ascii="Calibri Light" w:hAnsi="Calibri Light" w:cs="Arial"/>
          <w:sz w:val="22"/>
          <w:szCs w:val="22"/>
          <w:lang w:val="ca-ES"/>
        </w:rPr>
        <w:t>El desistiment.</w:t>
      </w:r>
    </w:p>
    <w:p w:rsidR="00A0641B" w:rsidRDefault="00A0641B" w:rsidP="001F3C29">
      <w:pPr>
        <w:pStyle w:val="Pargrafdellista"/>
        <w:numPr>
          <w:ilvl w:val="0"/>
          <w:numId w:val="22"/>
        </w:numPr>
        <w:ind w:left="567" w:hanging="283"/>
        <w:jc w:val="both"/>
        <w:rPr>
          <w:rFonts w:ascii="Calibri Light" w:hAnsi="Calibri Light" w:cs="Arial"/>
          <w:sz w:val="22"/>
          <w:szCs w:val="22"/>
          <w:lang w:val="ca-ES"/>
        </w:rPr>
      </w:pPr>
      <w:r w:rsidRPr="00A0641B">
        <w:rPr>
          <w:rFonts w:ascii="Calibri Light" w:hAnsi="Calibri Light" w:cs="Arial"/>
          <w:sz w:val="22"/>
          <w:szCs w:val="22"/>
          <w:lang w:val="ca-ES"/>
        </w:rPr>
        <w:t>La paralització total i absoluta de l’execució de les prestacions objecte d’aquest contracte imputable al contractista.</w:t>
      </w:r>
    </w:p>
    <w:p w:rsidR="00A0641B" w:rsidRDefault="00A0641B" w:rsidP="001F3C29">
      <w:pPr>
        <w:pStyle w:val="Pargrafdellista"/>
        <w:numPr>
          <w:ilvl w:val="0"/>
          <w:numId w:val="22"/>
        </w:numPr>
        <w:ind w:left="567" w:hanging="283"/>
        <w:jc w:val="both"/>
        <w:rPr>
          <w:rFonts w:ascii="Calibri Light" w:hAnsi="Calibri Light" w:cs="Arial"/>
          <w:sz w:val="22"/>
          <w:szCs w:val="22"/>
          <w:lang w:val="ca-ES"/>
        </w:rPr>
      </w:pPr>
      <w:r w:rsidRPr="00A0641B">
        <w:rPr>
          <w:rFonts w:ascii="Calibri Light" w:hAnsi="Calibri Light" w:cs="Arial"/>
          <w:sz w:val="22"/>
          <w:szCs w:val="22"/>
          <w:lang w:val="ca-ES"/>
        </w:rPr>
        <w:t xml:space="preserve">La resistència als requeriments efectuats per </w:t>
      </w:r>
      <w:r w:rsidR="001F3C29">
        <w:rPr>
          <w:rFonts w:ascii="Calibri Light" w:hAnsi="Calibri Light" w:cs="Arial"/>
          <w:sz w:val="22"/>
          <w:szCs w:val="22"/>
          <w:lang w:val="ca-ES"/>
        </w:rPr>
        <w:t>l’ICS</w:t>
      </w:r>
      <w:r w:rsidRPr="00A0641B">
        <w:rPr>
          <w:rFonts w:ascii="Calibri Light" w:hAnsi="Calibri Light" w:cs="Arial"/>
          <w:sz w:val="22"/>
          <w:szCs w:val="22"/>
          <w:lang w:val="ca-ES"/>
        </w:rPr>
        <w:t xml:space="preserve"> o la seva inobservança.</w:t>
      </w:r>
    </w:p>
    <w:p w:rsidR="00A0641B" w:rsidRDefault="00A0641B" w:rsidP="001F3C29">
      <w:pPr>
        <w:pStyle w:val="Pargrafdellista"/>
        <w:numPr>
          <w:ilvl w:val="0"/>
          <w:numId w:val="22"/>
        </w:numPr>
        <w:ind w:left="567" w:hanging="283"/>
        <w:jc w:val="both"/>
        <w:rPr>
          <w:rFonts w:ascii="Calibri Light" w:hAnsi="Calibri Light" w:cs="Arial"/>
          <w:sz w:val="22"/>
          <w:szCs w:val="22"/>
          <w:lang w:val="ca-ES"/>
        </w:rPr>
      </w:pPr>
      <w:r w:rsidRPr="00A0641B">
        <w:rPr>
          <w:rFonts w:ascii="Calibri Light" w:hAnsi="Calibri Light" w:cs="Arial"/>
          <w:sz w:val="22"/>
          <w:szCs w:val="22"/>
          <w:lang w:val="ca-ES"/>
        </w:rPr>
        <w:t xml:space="preserve">La utilització de sistemes de treball, elements, materials, màquines o personal </w:t>
      </w:r>
      <w:r>
        <w:rPr>
          <w:rFonts w:ascii="Calibri Light" w:hAnsi="Calibri Light" w:cs="Arial"/>
          <w:sz w:val="22"/>
          <w:szCs w:val="22"/>
          <w:lang w:val="ca-ES"/>
        </w:rPr>
        <w:t>diferents als previstos en els p</w:t>
      </w:r>
      <w:r w:rsidRPr="00A0641B">
        <w:rPr>
          <w:rFonts w:ascii="Calibri Light" w:hAnsi="Calibri Light" w:cs="Arial"/>
          <w:sz w:val="22"/>
          <w:szCs w:val="22"/>
          <w:lang w:val="ca-ES"/>
        </w:rPr>
        <w:t>lecs i en les ofertes del contractista.</w:t>
      </w:r>
    </w:p>
    <w:p w:rsidR="00A0641B" w:rsidRDefault="00A0641B" w:rsidP="001F3C29">
      <w:pPr>
        <w:pStyle w:val="Pargrafdellista"/>
        <w:numPr>
          <w:ilvl w:val="0"/>
          <w:numId w:val="22"/>
        </w:numPr>
        <w:ind w:left="567" w:hanging="283"/>
        <w:jc w:val="both"/>
        <w:rPr>
          <w:rFonts w:ascii="Calibri Light" w:hAnsi="Calibri Light" w:cs="Arial"/>
          <w:sz w:val="22"/>
          <w:szCs w:val="22"/>
          <w:lang w:val="ca-ES"/>
        </w:rPr>
      </w:pPr>
      <w:r w:rsidRPr="00A0641B">
        <w:rPr>
          <w:rFonts w:ascii="Calibri Light" w:hAnsi="Calibri Light" w:cs="Arial"/>
          <w:sz w:val="22"/>
          <w:szCs w:val="22"/>
          <w:lang w:val="ca-ES"/>
        </w:rPr>
        <w:t>El falsejament de les prestacions consignades pel contractista.</w:t>
      </w:r>
    </w:p>
    <w:p w:rsidR="00A0641B" w:rsidRDefault="00A0641B" w:rsidP="001F3C29">
      <w:pPr>
        <w:pStyle w:val="Pargrafdellista"/>
        <w:numPr>
          <w:ilvl w:val="0"/>
          <w:numId w:val="22"/>
        </w:numPr>
        <w:ind w:left="567" w:hanging="283"/>
        <w:jc w:val="both"/>
        <w:rPr>
          <w:rFonts w:ascii="Calibri Light" w:hAnsi="Calibri Light" w:cs="Arial"/>
          <w:sz w:val="22"/>
          <w:szCs w:val="22"/>
          <w:lang w:val="ca-ES"/>
        </w:rPr>
      </w:pPr>
      <w:r w:rsidRPr="00A0641B">
        <w:rPr>
          <w:rFonts w:ascii="Calibri Light" w:hAnsi="Calibri Light" w:cs="Arial"/>
          <w:sz w:val="22"/>
          <w:szCs w:val="22"/>
          <w:lang w:val="ca-ES"/>
        </w:rPr>
        <w:t>L’incompliment de l’obligació d’informació sobre les condicions de subrogació en contractes de treball.</w:t>
      </w:r>
    </w:p>
    <w:p w:rsidR="00602B8A" w:rsidRDefault="00A0641B" w:rsidP="001F3C29">
      <w:pPr>
        <w:pStyle w:val="Pargrafdellista"/>
        <w:numPr>
          <w:ilvl w:val="0"/>
          <w:numId w:val="22"/>
        </w:numPr>
        <w:ind w:left="567" w:hanging="283"/>
        <w:jc w:val="both"/>
        <w:rPr>
          <w:rFonts w:ascii="Calibri Light" w:hAnsi="Calibri Light" w:cs="Arial"/>
          <w:sz w:val="22"/>
          <w:szCs w:val="22"/>
          <w:lang w:val="ca-ES"/>
        </w:rPr>
      </w:pPr>
      <w:r>
        <w:rPr>
          <w:rFonts w:ascii="Calibri Light" w:hAnsi="Calibri Light" w:cs="Arial"/>
          <w:sz w:val="22"/>
          <w:szCs w:val="22"/>
          <w:lang w:val="ca-ES"/>
        </w:rPr>
        <w:t>L</w:t>
      </w:r>
      <w:r w:rsidRPr="00A0641B">
        <w:rPr>
          <w:rFonts w:ascii="Calibri Light" w:hAnsi="Calibri Light" w:cs="Arial"/>
          <w:sz w:val="22"/>
          <w:szCs w:val="22"/>
          <w:lang w:val="ca-ES"/>
        </w:rPr>
        <w:t>’incompliment de l’obligació de l’empresa contractista de remetre relació detallada de subcontractistes o subministradors i justificant de compliment dels pagaments</w:t>
      </w:r>
      <w:r w:rsidR="00933884">
        <w:rPr>
          <w:rFonts w:ascii="Calibri Light" w:hAnsi="Calibri Light" w:cs="Arial"/>
          <w:sz w:val="22"/>
          <w:szCs w:val="22"/>
          <w:lang w:val="ca-ES"/>
        </w:rPr>
        <w:t>.</w:t>
      </w:r>
    </w:p>
    <w:p w:rsidR="00933884" w:rsidRDefault="00933884" w:rsidP="001F3C29">
      <w:pPr>
        <w:pStyle w:val="Pargrafdellista"/>
        <w:numPr>
          <w:ilvl w:val="0"/>
          <w:numId w:val="22"/>
        </w:numPr>
        <w:ind w:left="567" w:hanging="283"/>
        <w:jc w:val="both"/>
        <w:rPr>
          <w:rFonts w:ascii="Calibri Light" w:hAnsi="Calibri Light" w:cs="Arial"/>
          <w:sz w:val="22"/>
          <w:szCs w:val="22"/>
          <w:lang w:val="ca-ES"/>
        </w:rPr>
      </w:pPr>
      <w:r>
        <w:rPr>
          <w:rFonts w:ascii="Calibri Light" w:hAnsi="Calibri Light" w:cs="Arial"/>
          <w:sz w:val="22"/>
          <w:szCs w:val="22"/>
          <w:lang w:val="ca-ES"/>
        </w:rPr>
        <w:t>L’incompliment del cronograma ofert.</w:t>
      </w:r>
    </w:p>
    <w:p w:rsidR="00602B8A" w:rsidRDefault="00602B8A" w:rsidP="00602B8A">
      <w:pPr>
        <w:pStyle w:val="Pargrafdellista"/>
        <w:rPr>
          <w:rFonts w:ascii="Calibri Light" w:hAnsi="Calibri Light" w:cs="Arial"/>
          <w:sz w:val="22"/>
          <w:szCs w:val="22"/>
          <w:lang w:val="ca-ES"/>
        </w:rPr>
      </w:pPr>
    </w:p>
    <w:p w:rsidR="001F3C29" w:rsidRPr="00602B8A" w:rsidRDefault="001F3C29" w:rsidP="00602B8A">
      <w:pPr>
        <w:pStyle w:val="Pargrafdellista"/>
        <w:rPr>
          <w:rFonts w:ascii="Calibri Light" w:hAnsi="Calibri Light" w:cs="Arial"/>
          <w:sz w:val="22"/>
          <w:szCs w:val="22"/>
          <w:lang w:val="ca-ES"/>
        </w:rPr>
      </w:pPr>
    </w:p>
    <w:p w:rsidR="00602B8A" w:rsidRPr="001E6F4C" w:rsidRDefault="00602B8A" w:rsidP="00602B8A">
      <w:pPr>
        <w:pStyle w:val="Ttol2"/>
        <w:numPr>
          <w:ilvl w:val="0"/>
          <w:numId w:val="21"/>
        </w:numPr>
        <w:rPr>
          <w:rFonts w:ascii="Calibri Light" w:hAnsi="Calibri Light"/>
          <w:sz w:val="22"/>
          <w:szCs w:val="22"/>
          <w:lang w:val="ca-ES"/>
        </w:rPr>
      </w:pPr>
      <w:r w:rsidRPr="001E6F4C">
        <w:rPr>
          <w:rFonts w:ascii="Calibri Light" w:hAnsi="Calibri Light"/>
          <w:sz w:val="22"/>
          <w:szCs w:val="22"/>
          <w:lang w:val="ca-ES"/>
        </w:rPr>
        <w:t>Efectes d’incórrer en algun dels supòsits anteriors.</w:t>
      </w:r>
    </w:p>
    <w:p w:rsidR="00602B8A" w:rsidRPr="001E6F4C" w:rsidRDefault="00602B8A" w:rsidP="00602B8A">
      <w:pPr>
        <w:jc w:val="both"/>
        <w:rPr>
          <w:rFonts w:ascii="Calibri Light" w:hAnsi="Calibri Light" w:cs="Arial"/>
          <w:b/>
          <w:sz w:val="22"/>
          <w:szCs w:val="22"/>
          <w:lang w:val="ca-ES"/>
        </w:rPr>
      </w:pPr>
    </w:p>
    <w:p w:rsidR="00602B8A" w:rsidRPr="001E6F4C" w:rsidRDefault="00602B8A" w:rsidP="00602B8A">
      <w:pPr>
        <w:jc w:val="both"/>
        <w:rPr>
          <w:rFonts w:ascii="Calibri Light" w:hAnsi="Calibri Light" w:cs="Arial"/>
          <w:sz w:val="22"/>
          <w:szCs w:val="22"/>
          <w:lang w:val="ca-ES"/>
        </w:rPr>
      </w:pPr>
      <w:r w:rsidRPr="001E6F4C">
        <w:rPr>
          <w:rFonts w:ascii="Calibri Light" w:hAnsi="Calibri Light" w:cs="Arial"/>
          <w:sz w:val="22"/>
          <w:szCs w:val="22"/>
          <w:lang w:val="ca-ES"/>
        </w:rPr>
        <w:t xml:space="preserve">Independentment de l’obligació d’indemnitzar pels danys i perjudicis que, en el seu cas, s’originin, </w:t>
      </w:r>
      <w:r w:rsidR="001F3C29">
        <w:rPr>
          <w:rFonts w:ascii="Calibri Light" w:hAnsi="Calibri Light" w:cs="Arial"/>
          <w:sz w:val="22"/>
          <w:szCs w:val="22"/>
          <w:lang w:val="ca-ES"/>
        </w:rPr>
        <w:t xml:space="preserve">l’ICS </w:t>
      </w:r>
      <w:r w:rsidRPr="001E6F4C">
        <w:rPr>
          <w:rFonts w:ascii="Calibri Light" w:hAnsi="Calibri Light" w:cs="Arial"/>
          <w:sz w:val="22"/>
          <w:szCs w:val="22"/>
          <w:lang w:val="ca-ES"/>
        </w:rPr>
        <w:t xml:space="preserve">podrà acordar aplicar els següents efectes. </w:t>
      </w:r>
    </w:p>
    <w:p w:rsidR="00602B8A" w:rsidRPr="001E6F4C" w:rsidRDefault="00602B8A" w:rsidP="00602B8A">
      <w:pPr>
        <w:jc w:val="both"/>
        <w:rPr>
          <w:rFonts w:ascii="Calibri Light" w:hAnsi="Calibri Light" w:cs="Arial"/>
          <w:sz w:val="22"/>
          <w:szCs w:val="22"/>
          <w:lang w:val="ca-ES"/>
        </w:rPr>
      </w:pPr>
    </w:p>
    <w:p w:rsidR="00602B8A" w:rsidRDefault="00602B8A" w:rsidP="00602B8A">
      <w:pPr>
        <w:jc w:val="both"/>
        <w:rPr>
          <w:rFonts w:ascii="Calibri Light" w:hAnsi="Calibri Light" w:cs="Arial"/>
          <w:sz w:val="22"/>
          <w:szCs w:val="22"/>
          <w:lang w:val="ca-ES"/>
        </w:rPr>
      </w:pPr>
    </w:p>
    <w:p w:rsidR="00E67CB7" w:rsidRDefault="00E67CB7" w:rsidP="00602B8A">
      <w:pPr>
        <w:jc w:val="both"/>
        <w:rPr>
          <w:rFonts w:ascii="Calibri Light" w:hAnsi="Calibri Light" w:cs="Arial"/>
          <w:sz w:val="22"/>
          <w:szCs w:val="22"/>
          <w:lang w:val="ca-ES"/>
        </w:rPr>
      </w:pPr>
    </w:p>
    <w:p w:rsidR="00E67CB7" w:rsidRDefault="00E67CB7" w:rsidP="00602B8A">
      <w:pPr>
        <w:jc w:val="both"/>
        <w:rPr>
          <w:rFonts w:ascii="Calibri Light" w:hAnsi="Calibri Light" w:cs="Arial"/>
          <w:sz w:val="22"/>
          <w:szCs w:val="22"/>
          <w:lang w:val="ca-ES"/>
        </w:rPr>
      </w:pPr>
    </w:p>
    <w:p w:rsidR="00E67CB7" w:rsidRPr="001E6F4C" w:rsidRDefault="00E67CB7" w:rsidP="00602B8A">
      <w:pPr>
        <w:jc w:val="both"/>
        <w:rPr>
          <w:rFonts w:ascii="Calibri Light" w:hAnsi="Calibri Light" w:cs="Arial"/>
          <w:sz w:val="22"/>
          <w:szCs w:val="22"/>
          <w:lang w:val="ca-ES"/>
        </w:rPr>
      </w:pPr>
    </w:p>
    <w:p w:rsidR="00602B8A" w:rsidRPr="001E6F4C" w:rsidRDefault="00602B8A" w:rsidP="00602B8A">
      <w:pPr>
        <w:pStyle w:val="Pargrafdellista"/>
        <w:numPr>
          <w:ilvl w:val="1"/>
          <w:numId w:val="21"/>
        </w:numPr>
        <w:ind w:hanging="792"/>
        <w:jc w:val="both"/>
        <w:rPr>
          <w:rFonts w:ascii="Calibri Light" w:hAnsi="Calibri Light" w:cs="Arial"/>
          <w:b/>
          <w:sz w:val="22"/>
          <w:szCs w:val="22"/>
          <w:lang w:val="ca-ES"/>
        </w:rPr>
      </w:pPr>
      <w:r w:rsidRPr="001E6F4C">
        <w:rPr>
          <w:rFonts w:ascii="Calibri Light" w:hAnsi="Calibri Light" w:cs="Arial"/>
          <w:b/>
          <w:sz w:val="22"/>
          <w:szCs w:val="22"/>
          <w:lang w:val="ca-ES"/>
        </w:rPr>
        <w:t>Aplicació de penalitats</w:t>
      </w:r>
    </w:p>
    <w:p w:rsidR="00602B8A" w:rsidRPr="001E6F4C" w:rsidRDefault="00602B8A" w:rsidP="00602B8A">
      <w:pPr>
        <w:jc w:val="both"/>
        <w:rPr>
          <w:rFonts w:ascii="Calibri Light" w:hAnsi="Calibri Light" w:cs="Arial"/>
          <w:sz w:val="22"/>
          <w:szCs w:val="22"/>
          <w:lang w:val="ca-ES"/>
        </w:rPr>
      </w:pPr>
    </w:p>
    <w:p w:rsidR="00602B8A" w:rsidRPr="001E6F4C" w:rsidRDefault="00602B8A" w:rsidP="00602B8A">
      <w:pPr>
        <w:pStyle w:val="Pargrafdellista"/>
        <w:numPr>
          <w:ilvl w:val="2"/>
          <w:numId w:val="21"/>
        </w:numPr>
        <w:ind w:left="851" w:hanging="851"/>
        <w:jc w:val="both"/>
        <w:rPr>
          <w:rFonts w:ascii="Calibri Light" w:hAnsi="Calibri Light" w:cs="Arial"/>
          <w:b/>
          <w:sz w:val="22"/>
          <w:szCs w:val="22"/>
          <w:lang w:val="ca-ES"/>
        </w:rPr>
      </w:pPr>
      <w:r w:rsidRPr="001E6F4C">
        <w:rPr>
          <w:rFonts w:ascii="Calibri Light" w:hAnsi="Calibri Light" w:cs="Arial"/>
          <w:b/>
          <w:sz w:val="22"/>
          <w:szCs w:val="22"/>
          <w:lang w:val="ca-ES"/>
        </w:rPr>
        <w:t>Aplicació de penalitats econòmiques</w:t>
      </w:r>
    </w:p>
    <w:p w:rsidR="00602B8A" w:rsidRPr="00602B8A" w:rsidRDefault="00602B8A" w:rsidP="00602B8A">
      <w:pPr>
        <w:jc w:val="both"/>
        <w:rPr>
          <w:rFonts w:ascii="Calibri Light" w:hAnsi="Calibri Light" w:cs="Arial"/>
          <w:sz w:val="22"/>
          <w:szCs w:val="22"/>
          <w:lang w:val="ca-ES"/>
        </w:rPr>
      </w:pPr>
      <w:r w:rsidRPr="00602B8A">
        <w:rPr>
          <w:rFonts w:ascii="Calibri Light" w:hAnsi="Calibri Light" w:cs="Arial"/>
          <w:sz w:val="22"/>
          <w:szCs w:val="22"/>
          <w:lang w:val="ca-ES"/>
        </w:rPr>
        <w:t xml:space="preserve">Les penalitats establertes en aquest </w:t>
      </w:r>
      <w:r w:rsidRPr="00602B8A">
        <w:rPr>
          <w:rFonts w:ascii="Calibri Light" w:hAnsi="Calibri Light" w:cs="Arial"/>
          <w:sz w:val="22"/>
          <w:szCs w:val="22"/>
          <w:u w:val="single"/>
          <w:lang w:val="ca-ES"/>
        </w:rPr>
        <w:t xml:space="preserve">apartat s’aplicaran quan l’incompliment obligui a l’òrgan de contractació a realitzar una </w:t>
      </w:r>
      <w:r>
        <w:rPr>
          <w:rFonts w:ascii="Calibri Light" w:hAnsi="Calibri Light" w:cs="Arial"/>
          <w:sz w:val="22"/>
          <w:szCs w:val="22"/>
          <w:u w:val="single"/>
          <w:lang w:val="ca-ES"/>
        </w:rPr>
        <w:t>acció concreta per a restablir els serveis públics</w:t>
      </w:r>
      <w:r w:rsidRPr="00602B8A">
        <w:rPr>
          <w:rFonts w:ascii="Calibri Light" w:hAnsi="Calibri Light" w:cs="Arial"/>
          <w:sz w:val="22"/>
          <w:szCs w:val="22"/>
          <w:lang w:val="ca-ES"/>
        </w:rPr>
        <w:t xml:space="preserve">. </w:t>
      </w:r>
    </w:p>
    <w:p w:rsidR="00602B8A" w:rsidRDefault="00602B8A" w:rsidP="00E4244F">
      <w:pPr>
        <w:spacing w:after="200" w:line="276" w:lineRule="auto"/>
        <w:contextualSpacing/>
        <w:jc w:val="both"/>
        <w:rPr>
          <w:rFonts w:ascii="Calibri Light" w:hAnsi="Calibri Light" w:cs="Arial"/>
          <w:b/>
          <w:sz w:val="22"/>
          <w:szCs w:val="22"/>
          <w:lang w:val="ca-ES"/>
        </w:rPr>
      </w:pPr>
    </w:p>
    <w:p w:rsidR="00602B8A" w:rsidRPr="001E6F4C" w:rsidRDefault="00602B8A" w:rsidP="00602B8A">
      <w:pPr>
        <w:spacing w:before="240"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lastRenderedPageBreak/>
        <w:t xml:space="preserve">Pels supòsits d’incompliment </w:t>
      </w:r>
      <w:r w:rsidR="00933884">
        <w:rPr>
          <w:rFonts w:ascii="Calibri Light" w:hAnsi="Calibri Light" w:cs="Arial"/>
          <w:b/>
          <w:sz w:val="22"/>
          <w:szCs w:val="22"/>
          <w:lang w:val="ca-ES"/>
        </w:rPr>
        <w:t xml:space="preserve">en </w:t>
      </w:r>
      <w:r w:rsidR="001F3C29">
        <w:rPr>
          <w:rFonts w:ascii="Calibri Light" w:hAnsi="Calibri Light" w:cs="Arial"/>
          <w:b/>
          <w:sz w:val="22"/>
          <w:szCs w:val="22"/>
          <w:lang w:val="ca-ES"/>
        </w:rPr>
        <w:t>e</w:t>
      </w:r>
      <w:r w:rsidR="00933884">
        <w:rPr>
          <w:rFonts w:ascii="Calibri Light" w:hAnsi="Calibri Light" w:cs="Arial"/>
          <w:b/>
          <w:sz w:val="22"/>
          <w:szCs w:val="22"/>
          <w:lang w:val="ca-ES"/>
        </w:rPr>
        <w:t>l</w:t>
      </w:r>
      <w:r w:rsidR="001F3C29">
        <w:rPr>
          <w:rFonts w:ascii="Calibri Light" w:hAnsi="Calibri Light" w:cs="Arial"/>
          <w:b/>
          <w:sz w:val="22"/>
          <w:szCs w:val="22"/>
          <w:lang w:val="ca-ES"/>
        </w:rPr>
        <w:t>s punts a, b, c i d</w:t>
      </w:r>
      <w:r w:rsidRPr="001E6F4C">
        <w:rPr>
          <w:rFonts w:ascii="Calibri Light" w:hAnsi="Calibri Light" w:cs="Arial"/>
          <w:sz w:val="22"/>
          <w:szCs w:val="22"/>
          <w:lang w:val="ca-ES"/>
        </w:rPr>
        <w:t xml:space="preserve">: suposarà la imposició d’una penalitat del 10 per 100 de l’import econòmic de cada </w:t>
      </w:r>
      <w:r>
        <w:rPr>
          <w:rFonts w:ascii="Calibri Light" w:hAnsi="Calibri Light" w:cs="Arial"/>
          <w:sz w:val="22"/>
          <w:szCs w:val="22"/>
          <w:lang w:val="ca-ES"/>
        </w:rPr>
        <w:t>factura presentada</w:t>
      </w:r>
      <w:r w:rsidRPr="001E6F4C">
        <w:rPr>
          <w:rFonts w:ascii="Calibri Light" w:hAnsi="Calibri Light" w:cs="Arial"/>
          <w:sz w:val="22"/>
          <w:szCs w:val="22"/>
          <w:lang w:val="ca-ES"/>
        </w:rPr>
        <w:t>.</w:t>
      </w:r>
    </w:p>
    <w:p w:rsidR="00602B8A" w:rsidRPr="001E6F4C" w:rsidRDefault="00602B8A" w:rsidP="00602B8A">
      <w:pPr>
        <w:spacing w:before="240" w:after="200" w:line="276" w:lineRule="auto"/>
        <w:contextualSpacing/>
        <w:jc w:val="both"/>
        <w:rPr>
          <w:rFonts w:ascii="Calibri Light" w:hAnsi="Calibri Light" w:cs="Arial"/>
          <w:sz w:val="22"/>
          <w:szCs w:val="22"/>
          <w:lang w:val="ca-ES"/>
        </w:rPr>
      </w:pPr>
    </w:p>
    <w:p w:rsidR="00602B8A" w:rsidRPr="001E6F4C" w:rsidRDefault="00602B8A" w:rsidP="00602B8A">
      <w:pPr>
        <w:spacing w:before="240"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t>Pels supòsits d</w:t>
      </w:r>
      <w:r>
        <w:rPr>
          <w:rFonts w:ascii="Calibri Light" w:hAnsi="Calibri Light" w:cs="Arial"/>
          <w:b/>
          <w:sz w:val="22"/>
          <w:szCs w:val="22"/>
          <w:lang w:val="ca-ES"/>
        </w:rPr>
        <w:t>’execució defectuós</w:t>
      </w:r>
      <w:r w:rsidRPr="001E6F4C">
        <w:rPr>
          <w:rFonts w:ascii="Calibri Light" w:hAnsi="Calibri Light" w:cs="Arial"/>
          <w:b/>
          <w:sz w:val="22"/>
          <w:szCs w:val="22"/>
          <w:lang w:val="ca-ES"/>
        </w:rPr>
        <w:t xml:space="preserve"> de</w:t>
      </w:r>
      <w:r w:rsidR="00933884">
        <w:rPr>
          <w:rFonts w:ascii="Calibri Light" w:hAnsi="Calibri Light" w:cs="Arial"/>
          <w:b/>
          <w:sz w:val="22"/>
          <w:szCs w:val="22"/>
          <w:lang w:val="ca-ES"/>
        </w:rPr>
        <w:t xml:space="preserve"> </w:t>
      </w:r>
      <w:r w:rsidRPr="001E6F4C">
        <w:rPr>
          <w:rFonts w:ascii="Calibri Light" w:hAnsi="Calibri Light" w:cs="Arial"/>
          <w:b/>
          <w:sz w:val="22"/>
          <w:szCs w:val="22"/>
          <w:lang w:val="ca-ES"/>
        </w:rPr>
        <w:t>l</w:t>
      </w:r>
      <w:r w:rsidR="00933884">
        <w:rPr>
          <w:rFonts w:ascii="Calibri Light" w:hAnsi="Calibri Light" w:cs="Arial"/>
          <w:b/>
          <w:sz w:val="22"/>
          <w:szCs w:val="22"/>
          <w:lang w:val="ca-ES"/>
        </w:rPr>
        <w:t>es obres</w:t>
      </w:r>
      <w:r w:rsidRPr="001E6F4C">
        <w:rPr>
          <w:rFonts w:ascii="Calibri Light" w:hAnsi="Calibri Light" w:cs="Arial"/>
          <w:b/>
          <w:sz w:val="22"/>
          <w:szCs w:val="22"/>
          <w:lang w:val="ca-ES"/>
        </w:rPr>
        <w:t>, la utilització de sistemes de treball, elements, materials, màquines o personal diferents als previstos en els plecs i en les ofertes del contractista</w:t>
      </w:r>
      <w:r w:rsidRPr="001E6F4C">
        <w:rPr>
          <w:rFonts w:ascii="Calibri Light" w:hAnsi="Calibri Light" w:cs="Arial"/>
          <w:sz w:val="22"/>
          <w:szCs w:val="22"/>
          <w:lang w:val="ca-ES"/>
        </w:rPr>
        <w:t xml:space="preserve">: entre el 5 per 100 i el 10 per 100 de l’import econòmic de cada </w:t>
      </w:r>
      <w:r>
        <w:rPr>
          <w:rFonts w:ascii="Calibri Light" w:hAnsi="Calibri Light" w:cs="Arial"/>
          <w:sz w:val="22"/>
          <w:szCs w:val="22"/>
          <w:lang w:val="ca-ES"/>
        </w:rPr>
        <w:t>factura presentada</w:t>
      </w:r>
      <w:r w:rsidRPr="001E6F4C">
        <w:rPr>
          <w:rFonts w:ascii="Calibri Light" w:hAnsi="Calibri Light" w:cs="Arial"/>
          <w:sz w:val="22"/>
          <w:szCs w:val="22"/>
          <w:lang w:val="ca-ES"/>
        </w:rPr>
        <w:t xml:space="preserve"> sense complir amb els requeriments dels plecs. </w:t>
      </w:r>
    </w:p>
    <w:p w:rsidR="00602B8A" w:rsidRPr="001E6F4C" w:rsidRDefault="00602B8A" w:rsidP="00602B8A">
      <w:pPr>
        <w:spacing w:after="200" w:line="276" w:lineRule="auto"/>
        <w:contextualSpacing/>
        <w:jc w:val="both"/>
        <w:rPr>
          <w:rFonts w:ascii="Calibri Light" w:hAnsi="Calibri Light" w:cs="Arial"/>
          <w:sz w:val="22"/>
          <w:szCs w:val="22"/>
          <w:lang w:val="ca-ES"/>
        </w:rPr>
      </w:pPr>
    </w:p>
    <w:p w:rsidR="00602B8A" w:rsidRPr="001E6F4C" w:rsidRDefault="00602B8A" w:rsidP="00602B8A">
      <w:pPr>
        <w:spacing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t>La paralització total i absoluta de l’execució de les prestacions</w:t>
      </w:r>
      <w:r w:rsidRPr="001E6F4C">
        <w:rPr>
          <w:rFonts w:ascii="Calibri Light" w:hAnsi="Calibri Light" w:cs="Arial"/>
          <w:sz w:val="22"/>
          <w:szCs w:val="22"/>
          <w:lang w:val="ca-ES"/>
        </w:rPr>
        <w:t>: suposarà la imposició d’una penalitat del 10 per 100 de l’import total del contracte adjudicat.</w:t>
      </w:r>
    </w:p>
    <w:p w:rsidR="00602B8A" w:rsidRPr="001E6F4C" w:rsidRDefault="00602B8A" w:rsidP="00602B8A">
      <w:pPr>
        <w:jc w:val="both"/>
        <w:rPr>
          <w:rFonts w:ascii="Calibri Light" w:hAnsi="Calibri Light" w:cs="Arial"/>
          <w:sz w:val="22"/>
          <w:szCs w:val="22"/>
          <w:lang w:val="ca-ES"/>
        </w:rPr>
      </w:pPr>
    </w:p>
    <w:p w:rsidR="00602B8A" w:rsidRPr="001E6F4C" w:rsidRDefault="00602B8A" w:rsidP="00602B8A">
      <w:pPr>
        <w:spacing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t>Incompliment de la resta de condicions especials i essencials del contracte</w:t>
      </w:r>
      <w:r w:rsidRPr="001E6F4C">
        <w:rPr>
          <w:rFonts w:ascii="Calibri Light" w:hAnsi="Calibri Light"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A0641B" w:rsidRDefault="00A0641B" w:rsidP="00A0641B">
      <w:pPr>
        <w:jc w:val="both"/>
        <w:rPr>
          <w:rFonts w:ascii="Calibri Light" w:hAnsi="Calibri Light" w:cs="Arial"/>
          <w:sz w:val="22"/>
          <w:szCs w:val="22"/>
          <w:lang w:val="ca-ES"/>
        </w:rPr>
      </w:pPr>
    </w:p>
    <w:p w:rsidR="00E02264" w:rsidRPr="005F0DA0" w:rsidRDefault="00B77CC6" w:rsidP="005F0DA0">
      <w:pPr>
        <w:pStyle w:val="Pargrafdellista"/>
        <w:numPr>
          <w:ilvl w:val="2"/>
          <w:numId w:val="21"/>
        </w:numPr>
        <w:ind w:left="851" w:hanging="851"/>
        <w:jc w:val="both"/>
        <w:rPr>
          <w:rFonts w:ascii="Calibri Light" w:hAnsi="Calibri Light" w:cs="Arial"/>
          <w:b/>
          <w:sz w:val="22"/>
          <w:szCs w:val="22"/>
          <w:lang w:val="ca-ES"/>
        </w:rPr>
      </w:pPr>
      <w:r w:rsidRPr="005F0DA0">
        <w:rPr>
          <w:rFonts w:ascii="Calibri Light" w:hAnsi="Calibri Light" w:cs="Arial"/>
          <w:b/>
          <w:sz w:val="22"/>
          <w:szCs w:val="22"/>
          <w:lang w:val="ca-ES"/>
        </w:rPr>
        <w:t>Resolució anticipada del contracte</w:t>
      </w:r>
    </w:p>
    <w:p w:rsidR="00B77CC6" w:rsidRPr="003D416E" w:rsidRDefault="00B77CC6" w:rsidP="00B77CC6">
      <w:pPr>
        <w:jc w:val="both"/>
        <w:rPr>
          <w:rFonts w:ascii="Calibri Light" w:hAnsi="Calibri Light" w:cs="Arial"/>
          <w:sz w:val="22"/>
          <w:szCs w:val="22"/>
          <w:u w:val="single"/>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5F0DA0" w:rsidRDefault="005F0DA0" w:rsidP="00B77CC6">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Efectes de la resolució anticipada del contracte</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També li seran aplicades les penalitats que s’han definit prèviament en els apartats anteriors.</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En la mateixa resolució on es declari la prohibició de contractar es determinarà la seva durada, la qual, no podrà excedir de tres anys, a comptar des de la data de notificació a l’empresa contractista.</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Excepcions als efectes de prohibició de contractar</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 xml:space="preserve">La condició d’estar en prohibició de contractar per part d’una empresa haurà de ser declarada per aquesta, al DEUC o bé en </w:t>
      </w:r>
      <w:r w:rsidR="00D219C1">
        <w:rPr>
          <w:rFonts w:ascii="Calibri Light" w:hAnsi="Calibri Light" w:cs="Arial"/>
          <w:sz w:val="22"/>
          <w:szCs w:val="22"/>
          <w:lang w:val="ca-ES"/>
        </w:rPr>
        <w:t xml:space="preserve">una </w:t>
      </w:r>
      <w:r w:rsidRPr="001E6F4C">
        <w:rPr>
          <w:rFonts w:ascii="Calibri Light" w:hAnsi="Calibri Light" w:cs="Arial"/>
          <w:sz w:val="22"/>
          <w:szCs w:val="22"/>
          <w:lang w:val="ca-ES"/>
        </w:rPr>
        <w:t xml:space="preserve">declaració responsable, en cas que es presenti a noves licitacions de </w:t>
      </w:r>
      <w:r w:rsidR="001F3C29">
        <w:rPr>
          <w:rFonts w:ascii="Calibri Light" w:hAnsi="Calibri Light" w:cs="Arial"/>
          <w:sz w:val="22"/>
          <w:szCs w:val="22"/>
          <w:lang w:val="ca-ES"/>
        </w:rPr>
        <w:t>l’ICS</w:t>
      </w:r>
      <w:r w:rsidRPr="001E6F4C">
        <w:rPr>
          <w:rFonts w:ascii="Calibri Light" w:hAnsi="Calibri Light" w:cs="Arial"/>
          <w:sz w:val="22"/>
          <w:szCs w:val="22"/>
          <w:lang w:val="ca-ES"/>
        </w:rPr>
        <w:t xml:space="preserve"> que tinguin el mateix objecte contractual.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De comprovar-se que les causes que varen causar la prohibició de contractar han estat resoltes, l’òrgan de contractació emetrà una resolució de revocació de la prohibició de contractar.</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pStyle w:val="Pargrafdellista"/>
        <w:numPr>
          <w:ilvl w:val="0"/>
          <w:numId w:val="21"/>
        </w:numPr>
        <w:ind w:left="567" w:hanging="567"/>
        <w:jc w:val="both"/>
        <w:rPr>
          <w:rFonts w:ascii="Calibri Light" w:hAnsi="Calibri Light" w:cs="Arial"/>
          <w:b/>
          <w:sz w:val="22"/>
          <w:szCs w:val="22"/>
          <w:lang w:val="ca-ES"/>
        </w:rPr>
      </w:pPr>
      <w:r w:rsidRPr="001E6F4C">
        <w:rPr>
          <w:rFonts w:ascii="Calibri Light" w:hAnsi="Calibri Light" w:cs="Arial"/>
          <w:b/>
          <w:sz w:val="22"/>
          <w:szCs w:val="22"/>
          <w:lang w:val="ca-ES"/>
        </w:rPr>
        <w:t xml:space="preserve">Reincidència </w:t>
      </w:r>
    </w:p>
    <w:p w:rsidR="005F0DA0" w:rsidRPr="001E6F4C" w:rsidRDefault="005F0DA0" w:rsidP="005F0DA0">
      <w:pPr>
        <w:spacing w:after="200" w:line="276" w:lineRule="auto"/>
        <w:contextualSpacing/>
        <w:jc w:val="both"/>
        <w:rPr>
          <w:rFonts w:ascii="Calibri Light" w:hAnsi="Calibri Light" w:cs="Arial"/>
          <w:sz w:val="22"/>
          <w:szCs w:val="22"/>
          <w:lang w:val="ca-ES"/>
        </w:rPr>
      </w:pPr>
    </w:p>
    <w:p w:rsidR="005F0DA0" w:rsidRPr="001E6F4C" w:rsidRDefault="005F0DA0" w:rsidP="005F0DA0">
      <w:pPr>
        <w:spacing w:after="200" w:line="276" w:lineRule="auto"/>
        <w:contextualSpacing/>
        <w:jc w:val="both"/>
        <w:rPr>
          <w:rFonts w:ascii="Calibri Light" w:hAnsi="Calibri Light" w:cs="Arial"/>
          <w:sz w:val="22"/>
          <w:szCs w:val="22"/>
          <w:lang w:val="ca-ES"/>
        </w:rPr>
      </w:pPr>
      <w:r w:rsidRPr="001E6F4C">
        <w:rPr>
          <w:rFonts w:ascii="Calibri Light" w:hAnsi="Calibri Light" w:cs="Arial"/>
          <w:sz w:val="22"/>
          <w:szCs w:val="22"/>
          <w:lang w:val="ca-ES"/>
        </w:rPr>
        <w:t xml:space="preserve">La comissió de dos incompliments en el termini de dos mesos, podrà tenir com a conseqüència la resolució anticipada del contracte. </w:t>
      </w:r>
    </w:p>
    <w:p w:rsidR="005F0DA0" w:rsidRPr="001E6F4C" w:rsidRDefault="005F0DA0" w:rsidP="005F0DA0">
      <w:pPr>
        <w:spacing w:after="200" w:line="276" w:lineRule="auto"/>
        <w:contextualSpacing/>
        <w:jc w:val="both"/>
        <w:rPr>
          <w:rFonts w:ascii="Calibri Light" w:hAnsi="Calibri Light" w:cs="Arial"/>
          <w:sz w:val="22"/>
          <w:szCs w:val="22"/>
          <w:lang w:val="ca-ES"/>
        </w:rPr>
      </w:pPr>
    </w:p>
    <w:p w:rsidR="005F0DA0" w:rsidRPr="001E6F4C" w:rsidRDefault="005F0DA0" w:rsidP="005F0DA0">
      <w:pPr>
        <w:spacing w:after="200" w:line="276" w:lineRule="auto"/>
        <w:contextualSpacing/>
        <w:jc w:val="both"/>
        <w:rPr>
          <w:rFonts w:ascii="Calibri Light" w:hAnsi="Calibri Light" w:cs="Arial"/>
          <w:sz w:val="22"/>
          <w:szCs w:val="22"/>
          <w:lang w:val="ca-ES"/>
        </w:rPr>
      </w:pPr>
      <w:r w:rsidRPr="00B6372D">
        <w:rPr>
          <w:rFonts w:ascii="Calibri Light" w:hAnsi="Calibri Light" w:cs="Arial"/>
          <w:sz w:val="22"/>
          <w:szCs w:val="22"/>
          <w:lang w:val="ca-ES"/>
        </w:rPr>
        <w:t>La identificació de la reincidència en els incompliments es realitzarà a través de l</w:t>
      </w:r>
      <w:r w:rsidR="00B6372D" w:rsidRPr="00B6372D">
        <w:rPr>
          <w:rFonts w:ascii="Calibri Light" w:hAnsi="Calibri Light" w:cs="Arial"/>
          <w:sz w:val="22"/>
          <w:szCs w:val="22"/>
          <w:lang w:val="ca-ES"/>
        </w:rPr>
        <w:t>’expedient administratiu corresponent</w:t>
      </w:r>
      <w:r w:rsidRPr="00B6372D">
        <w:rPr>
          <w:rFonts w:ascii="Calibri Light" w:hAnsi="Calibri Light" w:cs="Arial"/>
          <w:sz w:val="22"/>
          <w:szCs w:val="22"/>
          <w:lang w:val="ca-ES"/>
        </w:rPr>
        <w:t>.</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pStyle w:val="Pargrafdellista"/>
        <w:numPr>
          <w:ilvl w:val="0"/>
          <w:numId w:val="21"/>
        </w:numPr>
        <w:ind w:left="567" w:hanging="567"/>
        <w:jc w:val="both"/>
        <w:rPr>
          <w:rFonts w:ascii="Calibri Light" w:hAnsi="Calibri Light" w:cs="Arial"/>
          <w:b/>
          <w:sz w:val="22"/>
          <w:szCs w:val="22"/>
          <w:lang w:val="ca-ES"/>
        </w:rPr>
      </w:pPr>
      <w:r w:rsidRPr="001E6F4C">
        <w:rPr>
          <w:rFonts w:ascii="Calibri Light" w:hAnsi="Calibri Light" w:cs="Arial"/>
          <w:b/>
          <w:sz w:val="22"/>
          <w:szCs w:val="22"/>
          <w:lang w:val="ca-ES"/>
        </w:rPr>
        <w:t>Procediments</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5F0DA0" w:rsidRPr="001E6F4C" w:rsidRDefault="005F0DA0" w:rsidP="005F0DA0">
      <w:pPr>
        <w:jc w:val="both"/>
        <w:rPr>
          <w:rFonts w:ascii="Calibri Light" w:hAnsi="Calibri Light" w:cs="Arial"/>
          <w:sz w:val="22"/>
          <w:szCs w:val="22"/>
          <w:u w:val="single"/>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En tot cas es, donarà audiència a l’empresa contractista, i es procedirà d’acord amb l’article 191, 195 i 211 de la LCSP.</w:t>
      </w:r>
    </w:p>
    <w:p w:rsidR="005F0DA0" w:rsidRPr="001E6F4C" w:rsidRDefault="005F0DA0" w:rsidP="005F0DA0">
      <w:pPr>
        <w:jc w:val="both"/>
        <w:rPr>
          <w:rFonts w:ascii="Calibri Light" w:hAnsi="Calibri Light" w:cs="Arial"/>
          <w:sz w:val="22"/>
          <w:szCs w:val="22"/>
          <w:u w:val="single"/>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Els acords que adopti l’òrgan de contractació posaran fi a la via administrativa i seran executius immediatament.</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Un cop solucionada la causa que va suposar la incoació de l’expedient administratiu, l’empresa contractista haurà d’emetre el corresponent avís de restabliment de les obligacions contractuals a través de</w:t>
      </w:r>
      <w:r w:rsidR="00B6372D">
        <w:rPr>
          <w:rFonts w:ascii="Calibri Light" w:hAnsi="Calibri Light" w:cs="Arial"/>
          <w:sz w:val="22"/>
          <w:szCs w:val="22"/>
          <w:lang w:val="ca-ES"/>
        </w:rPr>
        <w:t xml:space="preserve"> comunicació expressa al responsable/s del contracte</w:t>
      </w:r>
      <w:r w:rsidRPr="001E6F4C">
        <w:rPr>
          <w:rFonts w:ascii="Calibri Light" w:hAnsi="Calibri Light" w:cs="Arial"/>
          <w:sz w:val="22"/>
          <w:szCs w:val="22"/>
          <w:lang w:val="ca-ES"/>
        </w:rPr>
        <w:t>. Fins que no es registri aquest avís les penalitats continuaran tenint els seus efectes.</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 xml:space="preserve">S’entendrà finalitzat l’expedient administratiu un cop realitzat l’avís de restabliment de les obligacions de l’empresa contractista. </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Si s’acorda la resolució anticipada del contracte, l’expedient administratiu s’entendrà finalitzat amb la notificació de dita resolució.</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Aplicació de penalitats econòmiques</w:t>
      </w:r>
    </w:p>
    <w:p w:rsidR="005F0DA0" w:rsidRPr="001E6F4C" w:rsidRDefault="005F0DA0" w:rsidP="005F0DA0">
      <w:pPr>
        <w:jc w:val="both"/>
        <w:rPr>
          <w:rFonts w:ascii="Calibri Light" w:hAnsi="Calibri Light" w:cs="Arial"/>
          <w:sz w:val="22"/>
          <w:szCs w:val="22"/>
          <w:u w:val="single"/>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L’aplicació de les penalitats es faran efectives mitjançant la deducció de les quanties que, en concepte d’abonament total o parcial, s’hagin de realitzar a l’empresa contractista.</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Resolució anticipada del contracte</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En el cas que l’empresa contractista formuli oposició l’expedient administratiu finalitzarà amb el dictamen de la Comissió Jurídica Assessora de la Generalitat de Catalunya.</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La tramitació en els dos procediments serà el d’urgència.</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 xml:space="preserve">Quan el contractista no pugui garantir les mesures indispensables que estableix el paràgraf anterior, </w:t>
      </w:r>
      <w:r w:rsidR="001F3C29">
        <w:rPr>
          <w:rFonts w:ascii="Calibri Light" w:hAnsi="Calibri Light" w:cs="Arial"/>
          <w:sz w:val="22"/>
          <w:szCs w:val="22"/>
          <w:lang w:val="ca-ES"/>
        </w:rPr>
        <w:t>l’ICS</w:t>
      </w:r>
      <w:r w:rsidRPr="001E6F4C">
        <w:rPr>
          <w:rFonts w:ascii="Calibri Light" w:hAnsi="Calibri Light" w:cs="Arial"/>
          <w:sz w:val="22"/>
          <w:szCs w:val="22"/>
          <w:lang w:val="ca-ES"/>
        </w:rPr>
        <w:t xml:space="preserve"> podrà intervenir garantint la realització amb els seus propis mitjans o a través d’un contracte amb un tercer. En qualsevol cas, aquesta circumstància s’ajustarà a les màximes garanties de transparència.</w:t>
      </w:r>
    </w:p>
    <w:p w:rsidR="003D416E" w:rsidRDefault="003D416E" w:rsidP="00B77CC6">
      <w:pPr>
        <w:jc w:val="both"/>
        <w:rPr>
          <w:rFonts w:ascii="Calibri Light" w:hAnsi="Calibri Light" w:cs="Arial"/>
          <w:sz w:val="22"/>
          <w:szCs w:val="22"/>
          <w:lang w:val="ca-ES"/>
        </w:rPr>
      </w:pPr>
    </w:p>
    <w:p w:rsidR="00D50A6D" w:rsidRDefault="00D50A6D" w:rsidP="00B77CC6">
      <w:pPr>
        <w:jc w:val="both"/>
        <w:rPr>
          <w:rFonts w:ascii="Calibri Light" w:hAnsi="Calibri Light" w:cs="Arial"/>
          <w:sz w:val="22"/>
          <w:szCs w:val="22"/>
          <w:lang w:val="ca-ES"/>
        </w:rPr>
      </w:pPr>
    </w:p>
    <w:sectPr w:rsidR="00D50A6D" w:rsidSect="00C84197">
      <w:headerReference w:type="default" r:id="rId11"/>
      <w:footerReference w:type="default" r:id="rId12"/>
      <w:pgSz w:w="11906" w:h="16838"/>
      <w:pgMar w:top="2127" w:right="1701" w:bottom="1702"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47F" w:rsidRDefault="00FC047F" w:rsidP="00F43205">
      <w:r>
        <w:separator/>
      </w:r>
    </w:p>
  </w:endnote>
  <w:endnote w:type="continuationSeparator" w:id="0">
    <w:p w:rsidR="00FC047F" w:rsidRDefault="00FC047F"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Light" w:hAnsi="Calibri Light"/>
        <w:sz w:val="14"/>
      </w:rPr>
      <w:id w:val="214545543"/>
      <w:docPartObj>
        <w:docPartGallery w:val="Page Numbers (Bottom of Page)"/>
        <w:docPartUnique/>
      </w:docPartObj>
    </w:sdtPr>
    <w:sdtEndPr/>
    <w:sdtContent>
      <w:sdt>
        <w:sdtPr>
          <w:rPr>
            <w:rFonts w:ascii="Calibri Light" w:hAnsi="Calibri Light"/>
            <w:sz w:val="14"/>
          </w:rPr>
          <w:id w:val="98381352"/>
          <w:docPartObj>
            <w:docPartGallery w:val="Page Numbers (Top of Page)"/>
            <w:docPartUnique/>
          </w:docPartObj>
        </w:sdtPr>
        <w:sdtEndPr/>
        <w:sdtContent>
          <w:p w:rsidR="00056F6A" w:rsidRPr="00056F6A" w:rsidRDefault="00E67CB7" w:rsidP="00056F6A">
            <w:pPr>
              <w:pStyle w:val="Peu"/>
              <w:rPr>
                <w:rFonts w:ascii="Calibri Light" w:hAnsi="Calibri Light"/>
                <w:sz w:val="14"/>
              </w:rPr>
            </w:pPr>
            <w:sdt>
              <w:sdtPr>
                <w:rPr>
                  <w:rFonts w:ascii="Calibri Light" w:hAnsi="Calibri Light"/>
                  <w:sz w:val="14"/>
                </w:rPr>
                <w:alias w:val="Títol"/>
                <w:tag w:val=""/>
                <w:id w:val="-200944923"/>
                <w:dataBinding w:prefixMappings="xmlns:ns0='http://purl.org/dc/elements/1.1/' xmlns:ns1='http://schemas.openxmlformats.org/package/2006/metadata/core-properties' " w:xpath="/ns1:coreProperties[1]/ns0:title[1]" w:storeItemID="{6C3C8BC8-F283-45AE-878A-BAB7291924A1}"/>
                <w:text/>
              </w:sdtPr>
              <w:sdtEndPr/>
              <w:sdtContent>
                <w:r w:rsidR="001F3C29">
                  <w:rPr>
                    <w:rFonts w:ascii="Calibri Light" w:hAnsi="Calibri Light"/>
                    <w:sz w:val="14"/>
                    <w:lang w:val="ca-ES"/>
                  </w:rPr>
                  <w:t>Annex 10 Règim incompliments_obres</w:t>
                </w:r>
              </w:sdtContent>
            </w:sdt>
            <w:r w:rsidR="00056F6A">
              <w:rPr>
                <w:rFonts w:ascii="Calibri Light" w:hAnsi="Calibri Light"/>
                <w:sz w:val="14"/>
              </w:rPr>
              <w:tab/>
            </w:r>
            <w:r w:rsidR="00056F6A">
              <w:rPr>
                <w:rFonts w:ascii="Calibri Light" w:hAnsi="Calibri Light"/>
                <w:sz w:val="14"/>
              </w:rPr>
              <w:tab/>
            </w:r>
            <w:r w:rsidR="00056F6A" w:rsidRPr="00056F6A">
              <w:rPr>
                <w:rFonts w:ascii="Calibri Light" w:hAnsi="Calibri Light"/>
                <w:sz w:val="14"/>
                <w:lang w:val="ca-ES"/>
              </w:rPr>
              <w:t xml:space="preserve">Pàgina </w:t>
            </w:r>
            <w:r w:rsidR="00056F6A" w:rsidRPr="00056F6A">
              <w:rPr>
                <w:rFonts w:ascii="Calibri Light" w:hAnsi="Calibri Light"/>
                <w:b/>
                <w:bCs/>
                <w:sz w:val="14"/>
              </w:rPr>
              <w:fldChar w:fldCharType="begin"/>
            </w:r>
            <w:r w:rsidR="00056F6A" w:rsidRPr="00056F6A">
              <w:rPr>
                <w:rFonts w:ascii="Calibri Light" w:hAnsi="Calibri Light"/>
                <w:b/>
                <w:bCs/>
                <w:sz w:val="14"/>
              </w:rPr>
              <w:instrText>PAGE</w:instrText>
            </w:r>
            <w:r w:rsidR="00056F6A" w:rsidRPr="00056F6A">
              <w:rPr>
                <w:rFonts w:ascii="Calibri Light" w:hAnsi="Calibri Light"/>
                <w:b/>
                <w:bCs/>
                <w:sz w:val="14"/>
              </w:rPr>
              <w:fldChar w:fldCharType="separate"/>
            </w:r>
            <w:r>
              <w:rPr>
                <w:rFonts w:ascii="Calibri Light" w:hAnsi="Calibri Light"/>
                <w:b/>
                <w:bCs/>
                <w:noProof/>
                <w:sz w:val="14"/>
              </w:rPr>
              <w:t>1</w:t>
            </w:r>
            <w:r w:rsidR="00056F6A" w:rsidRPr="00056F6A">
              <w:rPr>
                <w:rFonts w:ascii="Calibri Light" w:hAnsi="Calibri Light"/>
                <w:b/>
                <w:bCs/>
                <w:sz w:val="14"/>
              </w:rPr>
              <w:fldChar w:fldCharType="end"/>
            </w:r>
            <w:r w:rsidR="00056F6A" w:rsidRPr="00056F6A">
              <w:rPr>
                <w:rFonts w:ascii="Calibri Light" w:hAnsi="Calibri Light"/>
                <w:sz w:val="14"/>
                <w:lang w:val="ca-ES"/>
              </w:rPr>
              <w:t xml:space="preserve"> de </w:t>
            </w:r>
            <w:r w:rsidR="00056F6A" w:rsidRPr="00056F6A">
              <w:rPr>
                <w:rFonts w:ascii="Calibri Light" w:hAnsi="Calibri Light"/>
                <w:b/>
                <w:bCs/>
                <w:sz w:val="14"/>
              </w:rPr>
              <w:fldChar w:fldCharType="begin"/>
            </w:r>
            <w:r w:rsidR="00056F6A" w:rsidRPr="00056F6A">
              <w:rPr>
                <w:rFonts w:ascii="Calibri Light" w:hAnsi="Calibri Light"/>
                <w:b/>
                <w:bCs/>
                <w:sz w:val="14"/>
              </w:rPr>
              <w:instrText>NUMPAGES</w:instrText>
            </w:r>
            <w:r w:rsidR="00056F6A" w:rsidRPr="00056F6A">
              <w:rPr>
                <w:rFonts w:ascii="Calibri Light" w:hAnsi="Calibri Light"/>
                <w:b/>
                <w:bCs/>
                <w:sz w:val="14"/>
              </w:rPr>
              <w:fldChar w:fldCharType="separate"/>
            </w:r>
            <w:r>
              <w:rPr>
                <w:rFonts w:ascii="Calibri Light" w:hAnsi="Calibri Light"/>
                <w:b/>
                <w:bCs/>
                <w:noProof/>
                <w:sz w:val="14"/>
              </w:rPr>
              <w:t>4</w:t>
            </w:r>
            <w:r w:rsidR="00056F6A" w:rsidRPr="00056F6A">
              <w:rPr>
                <w:rFonts w:ascii="Calibri Light" w:hAnsi="Calibri Light"/>
                <w:b/>
                <w:bCs/>
                <w:sz w:val="14"/>
              </w:rPr>
              <w:fldChar w:fldCharType="end"/>
            </w:r>
          </w:p>
        </w:sdtContent>
      </w:sdt>
    </w:sdtContent>
  </w:sdt>
  <w:p w:rsidR="00056F6A" w:rsidRDefault="00056F6A">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47F" w:rsidRDefault="00FC047F" w:rsidP="00F43205">
      <w:r>
        <w:separator/>
      </w:r>
    </w:p>
  </w:footnote>
  <w:footnote w:type="continuationSeparator" w:id="0">
    <w:p w:rsidR="00FC047F" w:rsidRDefault="00FC047F"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3205" w:rsidRDefault="00E67CB7">
    <w:pPr>
      <w:pStyle w:val="Capalera"/>
    </w:pPr>
    <w:r w:rsidRPr="00E67CB7">
      <w:rPr>
        <w:noProof/>
        <w:lang w:val="ca-ES" w:eastAsia="ca-ES"/>
      </w:rPr>
      <w:drawing>
        <wp:anchor distT="0" distB="0" distL="0" distR="0" simplePos="0" relativeHeight="251659264" behindDoc="0" locked="0" layoutInCell="1" allowOverlap="1" wp14:anchorId="397A0A4F" wp14:editId="19EA3DC9">
          <wp:simplePos x="0" y="0"/>
          <wp:positionH relativeFrom="page">
            <wp:posOffset>1080135</wp:posOffset>
          </wp:positionH>
          <wp:positionV relativeFrom="page">
            <wp:posOffset>687070</wp:posOffset>
          </wp:positionV>
          <wp:extent cx="1962409" cy="390525"/>
          <wp:effectExtent l="0" t="0" r="0" b="0"/>
          <wp:wrapThrough wrapText="bothSides">
            <wp:wrapPolygon edited="0">
              <wp:start x="0" y="0"/>
              <wp:lineTo x="0" y="20020"/>
              <wp:lineTo x="21390" y="20020"/>
              <wp:lineTo x="21390"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77862" cy="393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67CB7">
      <w:rPr>
        <w:noProof/>
        <w:lang w:val="ca-ES" w:eastAsia="ca-ES"/>
      </w:rPr>
      <w:drawing>
        <wp:anchor distT="0" distB="0" distL="114300" distR="114300" simplePos="0" relativeHeight="251660288" behindDoc="0" locked="0" layoutInCell="1" allowOverlap="1" wp14:anchorId="2284A984" wp14:editId="5667E021">
          <wp:simplePos x="0" y="0"/>
          <wp:positionH relativeFrom="margin">
            <wp:posOffset>3990975</wp:posOffset>
          </wp:positionH>
          <wp:positionV relativeFrom="margin">
            <wp:posOffset>-720725</wp:posOffset>
          </wp:positionV>
          <wp:extent cx="1405255" cy="438150"/>
          <wp:effectExtent l="0" t="0" r="4445" b="0"/>
          <wp:wrapThrough wrapText="bothSides">
            <wp:wrapPolygon edited="0">
              <wp:start x="0" y="0"/>
              <wp:lineTo x="0" y="20661"/>
              <wp:lineTo x="21376" y="20661"/>
              <wp:lineTo x="21376" y="0"/>
              <wp:lineTo x="0" y="0"/>
            </wp:wrapPolygon>
          </wp:wrapThrough>
          <wp:docPr id="2" name="Imagen 1" descr="D:\Users\47929813K\Pictures\logo bl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47929813K\Pictures\logo blau.PNG"/>
                  <pic:cNvPicPr>
                    <a:picLocks noChangeAspect="1" noChangeArrowheads="1"/>
                  </pic:cNvPicPr>
                </pic:nvPicPr>
                <pic:blipFill>
                  <a:blip r:embed="rId2"/>
                  <a:srcRect/>
                  <a:stretch>
                    <a:fillRect/>
                  </a:stretch>
                </pic:blipFill>
                <pic:spPr bwMode="auto">
                  <a:xfrm>
                    <a:off x="0" y="0"/>
                    <a:ext cx="1405255" cy="4381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2" w15:restartNumberingAfterBreak="0">
    <w:nsid w:val="205E790F"/>
    <w:multiLevelType w:val="hybridMultilevel"/>
    <w:tmpl w:val="6F0A3B90"/>
    <w:lvl w:ilvl="0" w:tplc="04030017">
      <w:start w:val="1"/>
      <w:numFmt w:val="lowerLetter"/>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4"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5"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DE71398"/>
    <w:multiLevelType w:val="hybridMultilevel"/>
    <w:tmpl w:val="6F0A3B90"/>
    <w:lvl w:ilvl="0" w:tplc="04030017">
      <w:start w:val="1"/>
      <w:numFmt w:val="lowerLetter"/>
      <w:lvlText w:val="%1)"/>
      <w:lvlJc w:val="left"/>
      <w:pPr>
        <w:ind w:left="644" w:hanging="360"/>
      </w:pPr>
    </w:lvl>
    <w:lvl w:ilvl="1" w:tplc="04030013">
      <w:start w:val="1"/>
      <w:numFmt w:val="upperRoman"/>
      <w:lvlText w:val="%2."/>
      <w:lvlJc w:val="right"/>
      <w:pPr>
        <w:ind w:left="1364" w:hanging="360"/>
      </w:pPr>
    </w:lvl>
    <w:lvl w:ilvl="2" w:tplc="0403001B" w:tentative="1">
      <w:start w:val="1"/>
      <w:numFmt w:val="lowerRoman"/>
      <w:lvlText w:val="%3."/>
      <w:lvlJc w:val="right"/>
      <w:pPr>
        <w:ind w:left="2084" w:hanging="180"/>
      </w:pPr>
    </w:lvl>
    <w:lvl w:ilvl="3" w:tplc="0403000F" w:tentative="1">
      <w:start w:val="1"/>
      <w:numFmt w:val="decimal"/>
      <w:lvlText w:val="%4."/>
      <w:lvlJc w:val="left"/>
      <w:pPr>
        <w:ind w:left="2804" w:hanging="360"/>
      </w:pPr>
    </w:lvl>
    <w:lvl w:ilvl="4" w:tplc="04030019" w:tentative="1">
      <w:start w:val="1"/>
      <w:numFmt w:val="lowerLetter"/>
      <w:lvlText w:val="%5."/>
      <w:lvlJc w:val="left"/>
      <w:pPr>
        <w:ind w:left="3524" w:hanging="360"/>
      </w:pPr>
    </w:lvl>
    <w:lvl w:ilvl="5" w:tplc="0403001B" w:tentative="1">
      <w:start w:val="1"/>
      <w:numFmt w:val="lowerRoman"/>
      <w:lvlText w:val="%6."/>
      <w:lvlJc w:val="right"/>
      <w:pPr>
        <w:ind w:left="4244" w:hanging="180"/>
      </w:pPr>
    </w:lvl>
    <w:lvl w:ilvl="6" w:tplc="0403000F" w:tentative="1">
      <w:start w:val="1"/>
      <w:numFmt w:val="decimal"/>
      <w:lvlText w:val="%7."/>
      <w:lvlJc w:val="left"/>
      <w:pPr>
        <w:ind w:left="4964" w:hanging="360"/>
      </w:pPr>
    </w:lvl>
    <w:lvl w:ilvl="7" w:tplc="04030019" w:tentative="1">
      <w:start w:val="1"/>
      <w:numFmt w:val="lowerLetter"/>
      <w:lvlText w:val="%8."/>
      <w:lvlJc w:val="left"/>
      <w:pPr>
        <w:ind w:left="5684" w:hanging="360"/>
      </w:pPr>
    </w:lvl>
    <w:lvl w:ilvl="8" w:tplc="0403001B" w:tentative="1">
      <w:start w:val="1"/>
      <w:numFmt w:val="lowerRoman"/>
      <w:lvlText w:val="%9."/>
      <w:lvlJc w:val="right"/>
      <w:pPr>
        <w:ind w:left="6404" w:hanging="180"/>
      </w:pPr>
    </w:lvl>
  </w:abstractNum>
  <w:abstractNum w:abstractNumId="11"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3"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6"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9"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1"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17"/>
  </w:num>
  <w:num w:numId="2">
    <w:abstractNumId w:val="19"/>
  </w:num>
  <w:num w:numId="3">
    <w:abstractNumId w:val="14"/>
  </w:num>
  <w:num w:numId="4">
    <w:abstractNumId w:val="7"/>
  </w:num>
  <w:num w:numId="5">
    <w:abstractNumId w:val="1"/>
  </w:num>
  <w:num w:numId="6">
    <w:abstractNumId w:val="21"/>
  </w:num>
  <w:num w:numId="7">
    <w:abstractNumId w:val="4"/>
  </w:num>
  <w:num w:numId="8">
    <w:abstractNumId w:val="5"/>
  </w:num>
  <w:num w:numId="9">
    <w:abstractNumId w:val="12"/>
  </w:num>
  <w:num w:numId="10">
    <w:abstractNumId w:val="3"/>
  </w:num>
  <w:num w:numId="11">
    <w:abstractNumId w:val="18"/>
  </w:num>
  <w:num w:numId="12">
    <w:abstractNumId w:val="0"/>
  </w:num>
  <w:num w:numId="13">
    <w:abstractNumId w:val="6"/>
  </w:num>
  <w:num w:numId="14">
    <w:abstractNumId w:val="16"/>
  </w:num>
  <w:num w:numId="15">
    <w:abstractNumId w:val="20"/>
  </w:num>
  <w:num w:numId="16">
    <w:abstractNumId w:val="2"/>
  </w:num>
  <w:num w:numId="17">
    <w:abstractNumId w:val="11"/>
  </w:num>
  <w:num w:numId="18">
    <w:abstractNumId w:val="13"/>
  </w:num>
  <w:num w:numId="19">
    <w:abstractNumId w:val="8"/>
  </w:num>
  <w:num w:numId="20">
    <w:abstractNumId w:val="15"/>
  </w:num>
  <w:num w:numId="21">
    <w:abstractNumId w:val="9"/>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C41"/>
    <w:rsid w:val="00054C65"/>
    <w:rsid w:val="00056F6A"/>
    <w:rsid w:val="0008383B"/>
    <w:rsid w:val="000D23C6"/>
    <w:rsid w:val="000F2210"/>
    <w:rsid w:val="00112142"/>
    <w:rsid w:val="001B38FF"/>
    <w:rsid w:val="001B56A2"/>
    <w:rsid w:val="001E04ED"/>
    <w:rsid w:val="001E0A4E"/>
    <w:rsid w:val="001F3C29"/>
    <w:rsid w:val="002403C0"/>
    <w:rsid w:val="002630E6"/>
    <w:rsid w:val="0028336A"/>
    <w:rsid w:val="00294759"/>
    <w:rsid w:val="002B6F64"/>
    <w:rsid w:val="003D416E"/>
    <w:rsid w:val="00402FBA"/>
    <w:rsid w:val="0044104E"/>
    <w:rsid w:val="004B404B"/>
    <w:rsid w:val="005769FA"/>
    <w:rsid w:val="005A3ECC"/>
    <w:rsid w:val="005C3F9F"/>
    <w:rsid w:val="005C5C1D"/>
    <w:rsid w:val="005F0DA0"/>
    <w:rsid w:val="00602B8A"/>
    <w:rsid w:val="0060682A"/>
    <w:rsid w:val="00633CF5"/>
    <w:rsid w:val="00662C41"/>
    <w:rsid w:val="006C1D92"/>
    <w:rsid w:val="007710E2"/>
    <w:rsid w:val="00787544"/>
    <w:rsid w:val="007B11AA"/>
    <w:rsid w:val="007C5355"/>
    <w:rsid w:val="0087771A"/>
    <w:rsid w:val="00877974"/>
    <w:rsid w:val="008A5623"/>
    <w:rsid w:val="008C0D5F"/>
    <w:rsid w:val="0090059D"/>
    <w:rsid w:val="00932ACA"/>
    <w:rsid w:val="00933884"/>
    <w:rsid w:val="00997C69"/>
    <w:rsid w:val="00A02560"/>
    <w:rsid w:val="00A0641B"/>
    <w:rsid w:val="00A10E57"/>
    <w:rsid w:val="00A85F21"/>
    <w:rsid w:val="00AA57E3"/>
    <w:rsid w:val="00AB44AB"/>
    <w:rsid w:val="00AD7239"/>
    <w:rsid w:val="00B563B3"/>
    <w:rsid w:val="00B571CC"/>
    <w:rsid w:val="00B6372D"/>
    <w:rsid w:val="00B77CC6"/>
    <w:rsid w:val="00C84197"/>
    <w:rsid w:val="00C8446A"/>
    <w:rsid w:val="00C924A4"/>
    <w:rsid w:val="00CC723F"/>
    <w:rsid w:val="00D219C1"/>
    <w:rsid w:val="00D50A6D"/>
    <w:rsid w:val="00E02264"/>
    <w:rsid w:val="00E12C1E"/>
    <w:rsid w:val="00E4244F"/>
    <w:rsid w:val="00E4424F"/>
    <w:rsid w:val="00E67CB7"/>
    <w:rsid w:val="00EC7789"/>
    <w:rsid w:val="00F14F42"/>
    <w:rsid w:val="00F4206A"/>
    <w:rsid w:val="00F43205"/>
    <w:rsid w:val="00FC047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0E2E26"/>
  <w15:docId w15:val="{7BAAD720-7426-46BE-B36D-0192EF9DB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A19CD-0448-4406-BF71-3BBF8A87407D}">
  <ds:schemaRefs>
    <ds:schemaRef ds:uri="http://schemas.microsoft.com/sharepoint/v3/contenttype/forms"/>
  </ds:schemaRefs>
</ds:datastoreItem>
</file>

<file path=customXml/itemProps2.xml><?xml version="1.0" encoding="utf-8"?>
<ds:datastoreItem xmlns:ds="http://schemas.openxmlformats.org/officeDocument/2006/customXml" ds:itemID="{A23CB9A7-31F7-4DEF-8CF6-ABDC46947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B0CFDC-CD8C-4130-B196-5EE947EB126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46E5318-D98D-4E08-8610-BC0DBF49E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1281</Words>
  <Characters>7304</Characters>
  <Application>Microsoft Office Word</Application>
  <DocSecurity>0</DocSecurity>
  <Lines>60</Lines>
  <Paragraphs>17</Paragraphs>
  <ScaleCrop>false</ScaleCrop>
  <HeadingPairs>
    <vt:vector size="2" baseType="variant">
      <vt:variant>
        <vt:lpstr>Títol</vt:lpstr>
      </vt:variant>
      <vt:variant>
        <vt:i4>1</vt:i4>
      </vt:variant>
    </vt:vector>
  </HeadingPairs>
  <TitlesOfParts>
    <vt:vector size="1" baseType="lpstr">
      <vt:lpstr>Annex 10 Règim incompliments_serveis</vt:lpstr>
    </vt:vector>
  </TitlesOfParts>
  <Company>ICS</Company>
  <LinksUpToDate>false</LinksUpToDate>
  <CharactersWithSpaces>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incompliments_obres</dc:title>
  <dc:creator>Sonia Navarro Rey</dc:creator>
  <cp:lastModifiedBy>SAN JOSE RIBA, AGATA</cp:lastModifiedBy>
  <cp:revision>4</cp:revision>
  <cp:lastPrinted>2020-02-11T08:07:00Z</cp:lastPrinted>
  <dcterms:created xsi:type="dcterms:W3CDTF">2021-08-09T07:45:00Z</dcterms:created>
  <dcterms:modified xsi:type="dcterms:W3CDTF">2024-07-03T11:22:00Z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