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pBdr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2A6099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ca-ES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)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Oferta econòmica</w:t>
      </w:r>
    </w:p>
    <w:p>
      <w:pPr>
        <w:pStyle w:val="Cuerpodetexto"/>
        <w:pBdr/>
        <w:ind w:left="0" w:right="0" w:hanging="0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’oferta la quantitat de ................ €  més ................ €, en concepte d’IVA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(... %)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, que fan un total de ................ €,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i el següent detall: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B)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Reducció del termini</w:t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- 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oferta un termini de 3 setmanes per efectuar els treballs de camp</w:t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Sí</w:t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No</w:t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- 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oferta un termini de 3 setmanes pel disseny i propostes de contingut</w:t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Sí</w:t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No</w:t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-47625</wp:posOffset>
          </wp:positionH>
          <wp:positionV relativeFrom="paragraph">
            <wp:posOffset>161925</wp:posOffset>
          </wp:positionV>
          <wp:extent cx="6120130" cy="391160"/>
          <wp:effectExtent l="0" t="0" r="0" b="0"/>
          <wp:wrapTopAndBottom/>
          <wp:docPr id="1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91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1</Pages>
  <Words>207</Words>
  <Characters>1317</Characters>
  <CharactersWithSpaces>1515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2024-06-28T09:37:08Z</dcterms:created>
  <dc:creator/>
  <dc:description/>
  <dc:language>es-ES</dc:language>
  <cp:lastModifiedBy/>
  <dcterms:modified xsi:type="dcterms:W3CDTF">2024-06-28T09:37:53Z</dcterms:modified>
  <cp:revision>2</cp:revision>
  <dc:subject/>
  <dc:title>Carta Contractació</dc:title>
</cp:coreProperties>
</file>