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BB95D" w14:textId="77777777" w:rsidR="005E42A2" w:rsidRDefault="005E42A2" w:rsidP="005E42A2">
      <w:pPr>
        <w:jc w:val="both"/>
        <w:rPr>
          <w:rFonts w:cstheme="minorHAnsi"/>
          <w:b/>
          <w:u w:val="single"/>
        </w:rPr>
      </w:pPr>
      <w:r w:rsidRPr="0018066B">
        <w:rPr>
          <w:rFonts w:cstheme="minorHAnsi"/>
          <w:b/>
          <w:u w:val="single"/>
        </w:rPr>
        <w:t>ANNEX 1 - PRODUCTES QUE FORMEN PART D’AQUEST CONTRACTE DERIVAT</w:t>
      </w:r>
    </w:p>
    <w:p w14:paraId="5E5B4D8C" w14:textId="77777777" w:rsidR="00187A68" w:rsidRPr="009A58D3" w:rsidRDefault="00187A68" w:rsidP="00187A68">
      <w:pPr>
        <w:ind w:right="543"/>
        <w:jc w:val="both"/>
        <w:rPr>
          <w:rFonts w:ascii="Calibri" w:eastAsia="Calibri" w:hAnsi="Calibri" w:cs="Calibri"/>
        </w:rPr>
      </w:pPr>
      <w:r w:rsidRPr="009A58D3">
        <w:rPr>
          <w:rFonts w:ascii="Calibri" w:eastAsia="Calibri" w:hAnsi="Calibri" w:cs="Calibri"/>
        </w:rPr>
        <w:t xml:space="preserve">Els licitadors han d’estar en disposició de subministrar tots els productes que consten al llistat. S’han distribuït els productes que formen part de la categoria de pastes i conserves en dos grups de productes segons la seva composició: </w:t>
      </w:r>
    </w:p>
    <w:p w14:paraId="6FBADBB5" w14:textId="77777777" w:rsidR="00187A68" w:rsidRPr="009A58D3" w:rsidRDefault="00187A68" w:rsidP="00187A68">
      <w:pPr>
        <w:spacing w:before="240"/>
        <w:ind w:right="543"/>
        <w:jc w:val="both"/>
        <w:rPr>
          <w:rFonts w:cstheme="minorHAnsi"/>
          <w:iCs/>
        </w:rPr>
      </w:pPr>
      <w:r w:rsidRPr="009A58D3">
        <w:rPr>
          <w:rFonts w:cstheme="minorHAnsi"/>
          <w:iCs/>
          <w:u w:val="single"/>
        </w:rPr>
        <w:t>Els preus unitaris indicats en aquests quadre de característiques tenen el caràcter de màxims</w:t>
      </w:r>
      <w:r w:rsidRPr="009A58D3">
        <w:rPr>
          <w:rFonts w:cstheme="minorHAnsi"/>
          <w:iCs/>
        </w:rPr>
        <w:t xml:space="preserve">. </w:t>
      </w:r>
    </w:p>
    <w:p w14:paraId="6E8BA583"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lang w:eastAsia="x-none"/>
        </w:rPr>
        <w:t>El fet d’expressar incorrectament o insuficientment les ofertes es valorarà en zero punts. En el cas d’ofertes econòmiques de valor 0 presentades per les empreses licitadores, es seguirà el criteri del Tribunal Administratiu Central de Recursos Contractuals, segons el qual només s’acceptaran aquelles ofertes que en el seu conjunt tinguin un valor positiu. Així mateix, els valors de 0 euros seran substituïts per l’import de 0,1 o 0,01 pel cas que altres empreses licitadores hagin presentat l’oferta de 0,1 per tal de mantenir la proporcionalitat entre ells i el bon funcionament de la fórmula que pondera l’oferta econòmica.</w:t>
      </w:r>
    </w:p>
    <w:p w14:paraId="7E598F0B" w14:textId="77777777" w:rsidR="00187A68" w:rsidRPr="009A58D3" w:rsidRDefault="00187A68" w:rsidP="00187A68">
      <w:pPr>
        <w:spacing w:after="0"/>
        <w:ind w:left="1134" w:right="543"/>
        <w:jc w:val="both"/>
        <w:rPr>
          <w:rFonts w:eastAsia="Times New Roman" w:cs="Calibri"/>
          <w:u w:val="single"/>
          <w:lang w:eastAsia="x-none"/>
        </w:rPr>
      </w:pPr>
    </w:p>
    <w:p w14:paraId="4CD18DF5"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u w:val="single"/>
          <w:lang w:eastAsia="x-none"/>
        </w:rPr>
        <w:t>El total de l’oferta econòmica es presentarà amb un màxim de dos decimals, encara que el preu unitari de cada producte es presenti amb més decimals.</w:t>
      </w:r>
    </w:p>
    <w:p w14:paraId="1E3FDEAD" w14:textId="77777777" w:rsidR="00187A68" w:rsidRPr="009A58D3" w:rsidRDefault="00187A68" w:rsidP="00187A68">
      <w:pPr>
        <w:spacing w:after="0"/>
        <w:ind w:left="1134" w:right="543"/>
        <w:jc w:val="both"/>
        <w:rPr>
          <w:rFonts w:eastAsia="Times New Roman" w:cs="Calibri"/>
          <w:lang w:eastAsia="x-none"/>
        </w:rPr>
      </w:pPr>
    </w:p>
    <w:p w14:paraId="134E5131"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lang w:eastAsia="x-none"/>
        </w:rPr>
        <w:t xml:space="preserve">Seguint nombroses resolucions del Tribunal Administratiu Central de Recursos Contractuals (552/2017, 167/2018, etc.), l’oferta econòmica és invariable, admetent-se, si s’escau, esmena quan es cometi per l’empresa licitadora un error de càlcul o aritmètic, sempre sense alterar el sentit de l’oferta ja presentada, i sempre que la correcció no requereixi la realització d’un nou judici valoratiu o operacions de qualificació. </w:t>
      </w:r>
    </w:p>
    <w:p w14:paraId="3E8D7D13" w14:textId="77777777" w:rsidR="00187A68" w:rsidRPr="009A58D3" w:rsidRDefault="00187A68" w:rsidP="00187A68">
      <w:pPr>
        <w:spacing w:after="0"/>
        <w:ind w:left="1134" w:right="543"/>
        <w:jc w:val="both"/>
        <w:rPr>
          <w:rFonts w:eastAsia="Times New Roman" w:cs="Calibri"/>
          <w:lang w:eastAsia="x-none"/>
        </w:rPr>
      </w:pPr>
    </w:p>
    <w:p w14:paraId="55040530"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lang w:eastAsia="x-none"/>
        </w:rPr>
        <w:t xml:space="preserve">En aquest sentit, i seguint la doctrina del TACRC, la presentació d’una oferta econòmica amb més de dos decimals no es considerarà un defecte o error esmenable, atès que no es tracta d’un error formal o material que pugui corregir-se de forma automàtica i la seva correcció, a part de requerir la realització d’un judici valoratiu o d’un raonament jurídic, implicaria la modificació de l’oferta, la qual cosa està prohibida per la normativa aplicable. Per això, </w:t>
      </w:r>
      <w:r w:rsidRPr="009A58D3">
        <w:rPr>
          <w:rFonts w:eastAsia="Times New Roman" w:cs="Calibri"/>
          <w:u w:val="single"/>
          <w:lang w:eastAsia="x-none"/>
        </w:rPr>
        <w:t>de donar-se la circumstància que l’oferta s’efectuï en més de dos decimals, comportarà l’exclusió de l’empresa licitadora</w:t>
      </w:r>
      <w:r w:rsidRPr="009A58D3">
        <w:rPr>
          <w:rFonts w:eastAsia="Times New Roman" w:cs="Calibri"/>
          <w:lang w:eastAsia="x-none"/>
        </w:rPr>
        <w:t xml:space="preserve"> que l’hagi presentada.</w:t>
      </w:r>
    </w:p>
    <w:p w14:paraId="13689246" w14:textId="02FD408E" w:rsidR="00D60FBE" w:rsidRDefault="00C974F6" w:rsidP="00C974F6">
      <w:pPr>
        <w:spacing w:before="240"/>
        <w:ind w:right="74"/>
        <w:jc w:val="both"/>
        <w:rPr>
          <w:rFonts w:cstheme="minorHAnsi"/>
          <w:b/>
          <w:u w:val="single"/>
        </w:rPr>
      </w:pPr>
      <w:r>
        <w:rPr>
          <w:rFonts w:cstheme="minorHAnsi"/>
          <w:iCs/>
        </w:rPr>
        <w:t>Mireu Annex 1.1 de l’anunci de la licitació.</w:t>
      </w:r>
    </w:p>
    <w:p w14:paraId="0D036B04" w14:textId="091224C8" w:rsidR="00187A68" w:rsidRDefault="00187A68" w:rsidP="00E03F93">
      <w:pPr>
        <w:jc w:val="both"/>
        <w:rPr>
          <w:rFonts w:cstheme="minorHAnsi"/>
        </w:rPr>
      </w:pPr>
      <w:r w:rsidRPr="00187A68">
        <w:rPr>
          <w:rFonts w:cstheme="minorHAnsi"/>
        </w:rPr>
        <w:t xml:space="preserve">Per la presentació de la proposta econòmica caldrà que les empreses licitadores complementin </w:t>
      </w:r>
      <w:r w:rsidRPr="00C974F6">
        <w:rPr>
          <w:rFonts w:cstheme="minorHAnsi"/>
          <w:b/>
        </w:rPr>
        <w:t>l’ANNEX 2</w:t>
      </w:r>
      <w:r w:rsidRPr="00187A68">
        <w:rPr>
          <w:rFonts w:cstheme="minorHAnsi"/>
        </w:rPr>
        <w:t xml:space="preserve"> i l’adjuntin al sobre únic: criteris quantificables de forma automàtica de l’eina Sobre Digital.</w:t>
      </w:r>
      <w:bookmarkStart w:id="0" w:name="_GoBack"/>
      <w:bookmarkEnd w:id="0"/>
    </w:p>
    <w:sectPr w:rsidR="00187A6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E2D3E" w14:textId="77777777" w:rsidR="004507C4" w:rsidRDefault="004507C4" w:rsidP="00A442E5">
      <w:pPr>
        <w:spacing w:after="0" w:line="240" w:lineRule="auto"/>
      </w:pPr>
      <w:r>
        <w:separator/>
      </w:r>
    </w:p>
  </w:endnote>
  <w:endnote w:type="continuationSeparator" w:id="0">
    <w:p w14:paraId="36577E51" w14:textId="77777777" w:rsidR="004507C4" w:rsidRDefault="004507C4" w:rsidP="00A4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813212"/>
      <w:docPartObj>
        <w:docPartGallery w:val="Page Numbers (Bottom of Page)"/>
        <w:docPartUnique/>
      </w:docPartObj>
    </w:sdtPr>
    <w:sdtEndPr/>
    <w:sdtContent>
      <w:p w14:paraId="066A9823" w14:textId="77777777" w:rsidR="004507C4" w:rsidRDefault="004507C4">
        <w:pPr>
          <w:pStyle w:val="Piedepgina"/>
          <w:jc w:val="right"/>
        </w:pPr>
        <w:r>
          <w:fldChar w:fldCharType="begin"/>
        </w:r>
        <w:r>
          <w:instrText>PAGE   \* MERGEFORMAT</w:instrText>
        </w:r>
        <w:r>
          <w:fldChar w:fldCharType="separate"/>
        </w:r>
        <w:r w:rsidR="00697C9D" w:rsidRPr="00697C9D">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12D5A" w14:textId="77777777" w:rsidR="004507C4" w:rsidRDefault="004507C4" w:rsidP="00A442E5">
      <w:pPr>
        <w:spacing w:after="0" w:line="240" w:lineRule="auto"/>
      </w:pPr>
      <w:r>
        <w:separator/>
      </w:r>
    </w:p>
  </w:footnote>
  <w:footnote w:type="continuationSeparator" w:id="0">
    <w:p w14:paraId="4AF584D0" w14:textId="77777777" w:rsidR="004507C4" w:rsidRDefault="004507C4" w:rsidP="00A44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FB51B" w14:textId="77777777" w:rsidR="004507C4" w:rsidRDefault="004507C4" w:rsidP="00A442E5">
    <w:pPr>
      <w:pStyle w:val="Encabezado"/>
      <w:jc w:val="center"/>
    </w:pPr>
    <w:r w:rsidRPr="00093D9A">
      <w:rPr>
        <w:noProof/>
        <w:lang w:eastAsia="ca-ES"/>
      </w:rPr>
      <w:drawing>
        <wp:inline distT="0" distB="0" distL="0" distR="0" wp14:anchorId="71661754" wp14:editId="7499E8E0">
          <wp:extent cx="887105" cy="887105"/>
          <wp:effectExtent l="0" t="0" r="8255" b="8255"/>
          <wp:docPr id="2" name="Imagen 2"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3_salut_i_benest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79" cy="900079"/>
                  </a:xfrm>
                  <a:prstGeom prst="rect">
                    <a:avLst/>
                  </a:prstGeom>
                  <a:noFill/>
                  <a:ln>
                    <a:noFill/>
                  </a:ln>
                </pic:spPr>
              </pic:pic>
            </a:graphicData>
          </a:graphic>
        </wp:inline>
      </w:drawing>
    </w:r>
    <w:r w:rsidRPr="002E611E">
      <w:rPr>
        <w:noProof/>
        <w:lang w:eastAsia="ca-ES"/>
      </w:rPr>
      <w:drawing>
        <wp:inline distT="0" distB="0" distL="0" distR="0" wp14:anchorId="4F87C0DA" wp14:editId="25FE3F31">
          <wp:extent cx="895265" cy="895265"/>
          <wp:effectExtent l="0" t="0" r="635" b="635"/>
          <wp:docPr id="3" name="Imagen 3"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12_consum_i_producció_resposabl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1162" cy="931162"/>
                  </a:xfrm>
                  <a:prstGeom prst="rect">
                    <a:avLst/>
                  </a:prstGeom>
                  <a:noFill/>
                  <a:ln>
                    <a:noFill/>
                  </a:ln>
                </pic:spPr>
              </pic:pic>
            </a:graphicData>
          </a:graphic>
        </wp:inline>
      </w:drawing>
    </w:r>
    <w:r>
      <w:rPr>
        <w:noProof/>
        <w:lang w:eastAsia="ca-ES"/>
      </w:rPr>
      <w:drawing>
        <wp:inline distT="0" distB="0" distL="0" distR="0" wp14:anchorId="25CB0608" wp14:editId="78B32277">
          <wp:extent cx="1767409" cy="891887"/>
          <wp:effectExtent l="0" t="0" r="444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7252" cy="906947"/>
                  </a:xfrm>
                  <a:prstGeom prst="rect">
                    <a:avLst/>
                  </a:prstGeom>
                  <a:noFill/>
                </pic:spPr>
              </pic:pic>
            </a:graphicData>
          </a:graphic>
        </wp:inline>
      </w:drawing>
    </w:r>
  </w:p>
  <w:p w14:paraId="5463B7A8" w14:textId="77777777" w:rsidR="004507C4" w:rsidRDefault="004507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2EA"/>
    <w:multiLevelType w:val="hybridMultilevel"/>
    <w:tmpl w:val="126E5C5C"/>
    <w:lvl w:ilvl="0" w:tplc="1D0CA46E">
      <w:numFmt w:val="bullet"/>
      <w:lvlText w:val="-"/>
      <w:lvlJc w:val="left"/>
      <w:pPr>
        <w:ind w:left="1069" w:hanging="360"/>
      </w:pPr>
      <w:rPr>
        <w:rFonts w:ascii="Calibri" w:eastAsia="Calibri" w:hAnsi="Calibri" w:cs="Calibri"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 w15:restartNumberingAfterBreak="0">
    <w:nsid w:val="0D7C0E40"/>
    <w:multiLevelType w:val="hybridMultilevel"/>
    <w:tmpl w:val="77CC592C"/>
    <w:lvl w:ilvl="0" w:tplc="4C5003A2">
      <w:start w:val="1"/>
      <w:numFmt w:val="bullet"/>
      <w:lvlText w:val="-"/>
      <w:lvlJc w:val="left"/>
      <w:pPr>
        <w:ind w:left="720" w:hanging="360"/>
      </w:pPr>
      <w:rPr>
        <w:rFonts w:ascii="ITCOfficinaSans LT Book" w:hAnsi="ITCOfficinaSans LT Book"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1B6203C"/>
    <w:multiLevelType w:val="hybridMultilevel"/>
    <w:tmpl w:val="1BCEF4CE"/>
    <w:lvl w:ilvl="0" w:tplc="0403000F">
      <w:start w:val="1"/>
      <w:numFmt w:val="decimal"/>
      <w:lvlText w:val="%1."/>
      <w:lvlJc w:val="left"/>
      <w:pPr>
        <w:ind w:left="720" w:hanging="360"/>
      </w:pPr>
      <w:rPr>
        <w:rFonts w:hint="default"/>
      </w:rPr>
    </w:lvl>
    <w:lvl w:ilvl="1" w:tplc="392CC0C8">
      <w:start w:val="1"/>
      <w:numFmt w:val="lowerLetter"/>
      <w:lvlText w:val="%2."/>
      <w:lvlJc w:val="left"/>
      <w:pPr>
        <w:ind w:left="1440" w:hanging="360"/>
      </w:pPr>
      <w:rPr>
        <w:b/>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8742BAC"/>
    <w:multiLevelType w:val="hybridMultilevel"/>
    <w:tmpl w:val="27D0D1EC"/>
    <w:lvl w:ilvl="0" w:tplc="E76CB868">
      <w:start w:val="1"/>
      <w:numFmt w:val="bullet"/>
      <w:lvlText w:val="-"/>
      <w:lvlJc w:val="left"/>
      <w:pPr>
        <w:ind w:left="720" w:hanging="360"/>
      </w:pPr>
      <w:rPr>
        <w:rFonts w:ascii="ITCOfficinaSans LT Book" w:hAnsi="ITCOfficinaSans LT Book"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B268C1"/>
    <w:multiLevelType w:val="hybridMultilevel"/>
    <w:tmpl w:val="89424F8C"/>
    <w:lvl w:ilvl="0" w:tplc="7C66B52A">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CA83FCB"/>
    <w:multiLevelType w:val="hybridMultilevel"/>
    <w:tmpl w:val="201E8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50FD47CA"/>
    <w:multiLevelType w:val="hybridMultilevel"/>
    <w:tmpl w:val="A91892B8"/>
    <w:lvl w:ilvl="0" w:tplc="1D0CA46E">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01130AE"/>
    <w:multiLevelType w:val="hybridMultilevel"/>
    <w:tmpl w:val="A4106180"/>
    <w:lvl w:ilvl="0" w:tplc="1D0CA46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10A01FF"/>
    <w:multiLevelType w:val="hybridMultilevel"/>
    <w:tmpl w:val="F3047A9E"/>
    <w:lvl w:ilvl="0" w:tplc="809413E8">
      <w:start w:val="1"/>
      <w:numFmt w:val="decimal"/>
      <w:lvlText w:val="%1."/>
      <w:lvlJc w:val="left"/>
      <w:pPr>
        <w:ind w:left="720" w:hanging="360"/>
      </w:pPr>
      <w:rPr>
        <w:rFonts w:hint="default"/>
        <w:b/>
      </w:rPr>
    </w:lvl>
    <w:lvl w:ilvl="1" w:tplc="392CC0C8">
      <w:start w:val="1"/>
      <w:numFmt w:val="lowerLetter"/>
      <w:lvlText w:val="%2."/>
      <w:lvlJc w:val="left"/>
      <w:pPr>
        <w:ind w:left="1440" w:hanging="360"/>
      </w:pPr>
      <w:rPr>
        <w:b/>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80403C3"/>
    <w:multiLevelType w:val="hybridMultilevel"/>
    <w:tmpl w:val="D9D0C404"/>
    <w:lvl w:ilvl="0" w:tplc="392CC0C8">
      <w:start w:val="1"/>
      <w:numFmt w:val="lowerLetter"/>
      <w:lvlText w:val="%1."/>
      <w:lvlJc w:val="left"/>
      <w:pPr>
        <w:ind w:left="3192" w:hanging="360"/>
      </w:pPr>
      <w:rPr>
        <w:b/>
      </w:rPr>
    </w:lvl>
    <w:lvl w:ilvl="1" w:tplc="04030019" w:tentative="1">
      <w:start w:val="1"/>
      <w:numFmt w:val="lowerLetter"/>
      <w:lvlText w:val="%2."/>
      <w:lvlJc w:val="left"/>
      <w:pPr>
        <w:ind w:left="3912" w:hanging="360"/>
      </w:pPr>
    </w:lvl>
    <w:lvl w:ilvl="2" w:tplc="0403001B" w:tentative="1">
      <w:start w:val="1"/>
      <w:numFmt w:val="lowerRoman"/>
      <w:lvlText w:val="%3."/>
      <w:lvlJc w:val="right"/>
      <w:pPr>
        <w:ind w:left="4632" w:hanging="180"/>
      </w:pPr>
    </w:lvl>
    <w:lvl w:ilvl="3" w:tplc="0403000F" w:tentative="1">
      <w:start w:val="1"/>
      <w:numFmt w:val="decimal"/>
      <w:lvlText w:val="%4."/>
      <w:lvlJc w:val="left"/>
      <w:pPr>
        <w:ind w:left="5352" w:hanging="360"/>
      </w:pPr>
    </w:lvl>
    <w:lvl w:ilvl="4" w:tplc="04030019" w:tentative="1">
      <w:start w:val="1"/>
      <w:numFmt w:val="lowerLetter"/>
      <w:lvlText w:val="%5."/>
      <w:lvlJc w:val="left"/>
      <w:pPr>
        <w:ind w:left="6072" w:hanging="360"/>
      </w:pPr>
    </w:lvl>
    <w:lvl w:ilvl="5" w:tplc="0403001B" w:tentative="1">
      <w:start w:val="1"/>
      <w:numFmt w:val="lowerRoman"/>
      <w:lvlText w:val="%6."/>
      <w:lvlJc w:val="right"/>
      <w:pPr>
        <w:ind w:left="6792" w:hanging="180"/>
      </w:pPr>
    </w:lvl>
    <w:lvl w:ilvl="6" w:tplc="0403000F" w:tentative="1">
      <w:start w:val="1"/>
      <w:numFmt w:val="decimal"/>
      <w:lvlText w:val="%7."/>
      <w:lvlJc w:val="left"/>
      <w:pPr>
        <w:ind w:left="7512" w:hanging="360"/>
      </w:pPr>
    </w:lvl>
    <w:lvl w:ilvl="7" w:tplc="04030019" w:tentative="1">
      <w:start w:val="1"/>
      <w:numFmt w:val="lowerLetter"/>
      <w:lvlText w:val="%8."/>
      <w:lvlJc w:val="left"/>
      <w:pPr>
        <w:ind w:left="8232" w:hanging="360"/>
      </w:pPr>
    </w:lvl>
    <w:lvl w:ilvl="8" w:tplc="0403001B" w:tentative="1">
      <w:start w:val="1"/>
      <w:numFmt w:val="lowerRoman"/>
      <w:lvlText w:val="%9."/>
      <w:lvlJc w:val="right"/>
      <w:pPr>
        <w:ind w:left="8952" w:hanging="180"/>
      </w:pPr>
    </w:lvl>
  </w:abstractNum>
  <w:abstractNum w:abstractNumId="10" w15:restartNumberingAfterBreak="0">
    <w:nsid w:val="7EB5420D"/>
    <w:multiLevelType w:val="hybridMultilevel"/>
    <w:tmpl w:val="B3F4100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4"/>
  </w:num>
  <w:num w:numId="5">
    <w:abstractNumId w:val="10"/>
  </w:num>
  <w:num w:numId="6">
    <w:abstractNumId w:val="3"/>
  </w:num>
  <w:num w:numId="7">
    <w:abstractNumId w:val="6"/>
  </w:num>
  <w:num w:numId="8">
    <w:abstractNumId w:val="7"/>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E5"/>
    <w:rsid w:val="0001758D"/>
    <w:rsid w:val="00187A68"/>
    <w:rsid w:val="002A7527"/>
    <w:rsid w:val="002D27DC"/>
    <w:rsid w:val="00357317"/>
    <w:rsid w:val="003F52AB"/>
    <w:rsid w:val="004507C4"/>
    <w:rsid w:val="004F1A37"/>
    <w:rsid w:val="00513224"/>
    <w:rsid w:val="00563B3F"/>
    <w:rsid w:val="005B5ADA"/>
    <w:rsid w:val="005D1CB6"/>
    <w:rsid w:val="005E42A2"/>
    <w:rsid w:val="006245D7"/>
    <w:rsid w:val="00661F9E"/>
    <w:rsid w:val="00682FD4"/>
    <w:rsid w:val="0068630D"/>
    <w:rsid w:val="00697C9D"/>
    <w:rsid w:val="00703779"/>
    <w:rsid w:val="007155FE"/>
    <w:rsid w:val="00767D87"/>
    <w:rsid w:val="00770980"/>
    <w:rsid w:val="007B5394"/>
    <w:rsid w:val="007E6AE3"/>
    <w:rsid w:val="008060BB"/>
    <w:rsid w:val="00870F8A"/>
    <w:rsid w:val="008F22EB"/>
    <w:rsid w:val="00957EFA"/>
    <w:rsid w:val="00977DFB"/>
    <w:rsid w:val="009B444C"/>
    <w:rsid w:val="00A33D2C"/>
    <w:rsid w:val="00A442E5"/>
    <w:rsid w:val="00AC1A71"/>
    <w:rsid w:val="00AF7E17"/>
    <w:rsid w:val="00B273B9"/>
    <w:rsid w:val="00C5015F"/>
    <w:rsid w:val="00C64B92"/>
    <w:rsid w:val="00C87401"/>
    <w:rsid w:val="00C960A1"/>
    <w:rsid w:val="00C974F6"/>
    <w:rsid w:val="00CD6D58"/>
    <w:rsid w:val="00D02DF0"/>
    <w:rsid w:val="00D20BA1"/>
    <w:rsid w:val="00D32F17"/>
    <w:rsid w:val="00D60FBE"/>
    <w:rsid w:val="00DD06E7"/>
    <w:rsid w:val="00DD497A"/>
    <w:rsid w:val="00DD78AD"/>
    <w:rsid w:val="00E03F93"/>
    <w:rsid w:val="00E04219"/>
    <w:rsid w:val="00E722F4"/>
    <w:rsid w:val="00F902B2"/>
    <w:rsid w:val="00FA5420"/>
    <w:rsid w:val="00FB6E28"/>
    <w:rsid w:val="00FE51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4FAB69"/>
  <w15:chartTrackingRefBased/>
  <w15:docId w15:val="{82885A01-77F1-442A-9BD8-72C6F9B6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42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42E5"/>
    <w:rPr>
      <w:lang w:val="ca-ES"/>
    </w:rPr>
  </w:style>
  <w:style w:type="paragraph" w:styleId="Piedepgina">
    <w:name w:val="footer"/>
    <w:basedOn w:val="Normal"/>
    <w:link w:val="PiedepginaCar"/>
    <w:uiPriority w:val="99"/>
    <w:unhideWhenUsed/>
    <w:rsid w:val="00A442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42E5"/>
    <w:rPr>
      <w:lang w:val="ca-ES"/>
    </w:rPr>
  </w:style>
  <w:style w:type="paragraph" w:styleId="Prrafodelista">
    <w:name w:val="List Paragraph"/>
    <w:basedOn w:val="Normal"/>
    <w:link w:val="PrrafodelistaCar"/>
    <w:uiPriority w:val="34"/>
    <w:qFormat/>
    <w:rsid w:val="00A442E5"/>
    <w:pPr>
      <w:ind w:left="720"/>
      <w:contextualSpacing/>
    </w:pPr>
  </w:style>
  <w:style w:type="character" w:customStyle="1" w:styleId="PrrafodelistaCar">
    <w:name w:val="Párrafo de lista Car"/>
    <w:basedOn w:val="Fuentedeprrafopredeter"/>
    <w:link w:val="Prrafodelista"/>
    <w:uiPriority w:val="34"/>
    <w:qFormat/>
    <w:rsid w:val="008F22EB"/>
    <w:rPr>
      <w:lang w:val="ca-ES"/>
    </w:rPr>
  </w:style>
  <w:style w:type="paragraph" w:styleId="Textodeglobo">
    <w:name w:val="Balloon Text"/>
    <w:basedOn w:val="Normal"/>
    <w:link w:val="TextodegloboCar"/>
    <w:uiPriority w:val="99"/>
    <w:semiHidden/>
    <w:unhideWhenUsed/>
    <w:rsid w:val="009B444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B444C"/>
    <w:rPr>
      <w:rFonts w:ascii="Tahoma" w:hAnsi="Tahoma" w:cs="Tahoma"/>
      <w:sz w:val="16"/>
      <w:szCs w:val="16"/>
    </w:rPr>
  </w:style>
  <w:style w:type="character" w:styleId="Hipervnculo">
    <w:name w:val="Hyperlink"/>
    <w:basedOn w:val="Fuentedeprrafopredeter"/>
    <w:uiPriority w:val="99"/>
    <w:unhideWhenUsed/>
    <w:rsid w:val="00B273B9"/>
    <w:rPr>
      <w:color w:val="0563C1" w:themeColor="hyperlink"/>
      <w:u w:val="single"/>
    </w:rPr>
  </w:style>
  <w:style w:type="character" w:styleId="Hipervnculovisitado">
    <w:name w:val="FollowedHyperlink"/>
    <w:basedOn w:val="Fuentedeprrafopredeter"/>
    <w:uiPriority w:val="99"/>
    <w:semiHidden/>
    <w:unhideWhenUsed/>
    <w:rsid w:val="00B273B9"/>
    <w:rPr>
      <w:color w:val="954F72" w:themeColor="followedHyperlink"/>
      <w:u w:val="single"/>
    </w:rPr>
  </w:style>
  <w:style w:type="table" w:styleId="Tablaconcuadrcula">
    <w:name w:val="Table Grid"/>
    <w:basedOn w:val="Tablanormal"/>
    <w:uiPriority w:val="59"/>
    <w:rsid w:val="00DD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Normal"/>
    <w:qFormat/>
    <w:rsid w:val="00DD497A"/>
    <w:pPr>
      <w:spacing w:after="200" w:line="276" w:lineRule="auto"/>
      <w:jc w:val="both"/>
      <w:outlineLvl w:val="0"/>
    </w:pPr>
    <w:rPr>
      <w:rFonts w:ascii="Calibri" w:eastAsia="Times New Roman" w:hAnsi="Calibri" w:cs="Times New Roman"/>
      <w:b/>
      <w:bCs/>
      <w:kern w:val="28"/>
      <w:szCs w:val="32"/>
      <w:u w:val="single"/>
      <w:lang w:val="x-none" w:eastAsia="es-ES"/>
    </w:rPr>
  </w:style>
  <w:style w:type="character" w:customStyle="1" w:styleId="PuestoCar1">
    <w:name w:val="Puesto Car1"/>
    <w:link w:val="Puesto"/>
    <w:uiPriority w:val="10"/>
    <w:rsid w:val="00DD497A"/>
    <w:rPr>
      <w:rFonts w:ascii="Calibri" w:hAnsi="Calibri"/>
      <w:b/>
      <w:bCs/>
      <w:kern w:val="28"/>
      <w:sz w:val="22"/>
      <w:szCs w:val="32"/>
      <w:u w:val="single"/>
      <w:lang w:val="x-none" w:eastAsia="es-ES"/>
    </w:rPr>
  </w:style>
  <w:style w:type="paragraph" w:styleId="Puesto">
    <w:name w:val="Title"/>
    <w:basedOn w:val="Normal"/>
    <w:next w:val="Normal"/>
    <w:link w:val="PuestoCar1"/>
    <w:uiPriority w:val="10"/>
    <w:qFormat/>
    <w:rsid w:val="00DD497A"/>
    <w:pPr>
      <w:spacing w:after="0" w:line="240" w:lineRule="auto"/>
      <w:contextualSpacing/>
    </w:pPr>
    <w:rPr>
      <w:rFonts w:ascii="Calibri" w:hAnsi="Calibri"/>
      <w:b/>
      <w:bCs/>
      <w:kern w:val="28"/>
      <w:szCs w:val="32"/>
      <w:u w:val="single"/>
      <w:lang w:val="x-none" w:eastAsia="es-ES"/>
    </w:rPr>
  </w:style>
  <w:style w:type="character" w:customStyle="1" w:styleId="PuestoCar">
    <w:name w:val="Puesto Car"/>
    <w:basedOn w:val="Fuentedeprrafopredeter"/>
    <w:uiPriority w:val="10"/>
    <w:rsid w:val="00DD497A"/>
    <w:rPr>
      <w:rFonts w:asciiTheme="majorHAnsi" w:eastAsiaTheme="majorEastAsia" w:hAnsiTheme="majorHAnsi" w:cstheme="majorBidi"/>
      <w:spacing w:val="-10"/>
      <w:kern w:val="28"/>
      <w:sz w:val="56"/>
      <w:szCs w:val="56"/>
      <w:lang w:val="ca-ES"/>
    </w:rPr>
  </w:style>
  <w:style w:type="paragraph" w:customStyle="1" w:styleId="Default">
    <w:name w:val="Default"/>
    <w:rsid w:val="002D27DC"/>
    <w:pPr>
      <w:autoSpaceDE w:val="0"/>
      <w:autoSpaceDN w:val="0"/>
      <w:adjustRightInd w:val="0"/>
      <w:spacing w:after="0" w:line="240" w:lineRule="auto"/>
    </w:pPr>
    <w:rPr>
      <w:rFonts w:ascii="Calibri" w:hAnsi="Calibri" w:cs="Calibri"/>
      <w:color w:val="000000"/>
      <w:sz w:val="24"/>
      <w:szCs w:val="24"/>
    </w:rPr>
  </w:style>
  <w:style w:type="paragraph" w:styleId="Textoindependiente3">
    <w:name w:val="Body Text 3"/>
    <w:basedOn w:val="Normal"/>
    <w:link w:val="Textoindependiente3Car"/>
    <w:semiHidden/>
    <w:rsid w:val="00563B3F"/>
    <w:pPr>
      <w:spacing w:after="0" w:line="240" w:lineRule="auto"/>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semiHidden/>
    <w:rsid w:val="00563B3F"/>
    <w:rPr>
      <w:rFonts w:ascii="Arial" w:eastAsia="Times New Roman" w:hAnsi="Arial" w:cs="Arial"/>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5054">
      <w:bodyDiv w:val="1"/>
      <w:marLeft w:val="0"/>
      <w:marRight w:val="0"/>
      <w:marTop w:val="0"/>
      <w:marBottom w:val="0"/>
      <w:divBdr>
        <w:top w:val="none" w:sz="0" w:space="0" w:color="auto"/>
        <w:left w:val="none" w:sz="0" w:space="0" w:color="auto"/>
        <w:bottom w:val="none" w:sz="0" w:space="0" w:color="auto"/>
        <w:right w:val="none" w:sz="0" w:space="0" w:color="auto"/>
      </w:divBdr>
    </w:div>
    <w:div w:id="204172418">
      <w:bodyDiv w:val="1"/>
      <w:marLeft w:val="0"/>
      <w:marRight w:val="0"/>
      <w:marTop w:val="0"/>
      <w:marBottom w:val="0"/>
      <w:divBdr>
        <w:top w:val="none" w:sz="0" w:space="0" w:color="auto"/>
        <w:left w:val="none" w:sz="0" w:space="0" w:color="auto"/>
        <w:bottom w:val="none" w:sz="0" w:space="0" w:color="auto"/>
        <w:right w:val="none" w:sz="0" w:space="0" w:color="auto"/>
      </w:divBdr>
    </w:div>
    <w:div w:id="344480273">
      <w:bodyDiv w:val="1"/>
      <w:marLeft w:val="0"/>
      <w:marRight w:val="0"/>
      <w:marTop w:val="0"/>
      <w:marBottom w:val="0"/>
      <w:divBdr>
        <w:top w:val="none" w:sz="0" w:space="0" w:color="auto"/>
        <w:left w:val="none" w:sz="0" w:space="0" w:color="auto"/>
        <w:bottom w:val="none" w:sz="0" w:space="0" w:color="auto"/>
        <w:right w:val="none" w:sz="0" w:space="0" w:color="auto"/>
      </w:divBdr>
    </w:div>
    <w:div w:id="529994312">
      <w:bodyDiv w:val="1"/>
      <w:marLeft w:val="0"/>
      <w:marRight w:val="0"/>
      <w:marTop w:val="0"/>
      <w:marBottom w:val="0"/>
      <w:divBdr>
        <w:top w:val="none" w:sz="0" w:space="0" w:color="auto"/>
        <w:left w:val="none" w:sz="0" w:space="0" w:color="auto"/>
        <w:bottom w:val="none" w:sz="0" w:space="0" w:color="auto"/>
        <w:right w:val="none" w:sz="0" w:space="0" w:color="auto"/>
      </w:divBdr>
    </w:div>
    <w:div w:id="718669199">
      <w:bodyDiv w:val="1"/>
      <w:marLeft w:val="0"/>
      <w:marRight w:val="0"/>
      <w:marTop w:val="0"/>
      <w:marBottom w:val="0"/>
      <w:divBdr>
        <w:top w:val="none" w:sz="0" w:space="0" w:color="auto"/>
        <w:left w:val="none" w:sz="0" w:space="0" w:color="auto"/>
        <w:bottom w:val="none" w:sz="0" w:space="0" w:color="auto"/>
        <w:right w:val="none" w:sz="0" w:space="0" w:color="auto"/>
      </w:divBdr>
    </w:div>
    <w:div w:id="833953439">
      <w:bodyDiv w:val="1"/>
      <w:marLeft w:val="0"/>
      <w:marRight w:val="0"/>
      <w:marTop w:val="0"/>
      <w:marBottom w:val="0"/>
      <w:divBdr>
        <w:top w:val="none" w:sz="0" w:space="0" w:color="auto"/>
        <w:left w:val="none" w:sz="0" w:space="0" w:color="auto"/>
        <w:bottom w:val="none" w:sz="0" w:space="0" w:color="auto"/>
        <w:right w:val="none" w:sz="0" w:space="0" w:color="auto"/>
      </w:divBdr>
    </w:div>
    <w:div w:id="852496948">
      <w:bodyDiv w:val="1"/>
      <w:marLeft w:val="0"/>
      <w:marRight w:val="0"/>
      <w:marTop w:val="0"/>
      <w:marBottom w:val="0"/>
      <w:divBdr>
        <w:top w:val="none" w:sz="0" w:space="0" w:color="auto"/>
        <w:left w:val="none" w:sz="0" w:space="0" w:color="auto"/>
        <w:bottom w:val="none" w:sz="0" w:space="0" w:color="auto"/>
        <w:right w:val="none" w:sz="0" w:space="0" w:color="auto"/>
      </w:divBdr>
    </w:div>
    <w:div w:id="861667650">
      <w:bodyDiv w:val="1"/>
      <w:marLeft w:val="0"/>
      <w:marRight w:val="0"/>
      <w:marTop w:val="0"/>
      <w:marBottom w:val="0"/>
      <w:divBdr>
        <w:top w:val="none" w:sz="0" w:space="0" w:color="auto"/>
        <w:left w:val="none" w:sz="0" w:space="0" w:color="auto"/>
        <w:bottom w:val="none" w:sz="0" w:space="0" w:color="auto"/>
        <w:right w:val="none" w:sz="0" w:space="0" w:color="auto"/>
      </w:divBdr>
    </w:div>
    <w:div w:id="941297729">
      <w:bodyDiv w:val="1"/>
      <w:marLeft w:val="0"/>
      <w:marRight w:val="0"/>
      <w:marTop w:val="0"/>
      <w:marBottom w:val="0"/>
      <w:divBdr>
        <w:top w:val="none" w:sz="0" w:space="0" w:color="auto"/>
        <w:left w:val="none" w:sz="0" w:space="0" w:color="auto"/>
        <w:bottom w:val="none" w:sz="0" w:space="0" w:color="auto"/>
        <w:right w:val="none" w:sz="0" w:space="0" w:color="auto"/>
      </w:divBdr>
    </w:div>
    <w:div w:id="959190179">
      <w:bodyDiv w:val="1"/>
      <w:marLeft w:val="0"/>
      <w:marRight w:val="0"/>
      <w:marTop w:val="0"/>
      <w:marBottom w:val="0"/>
      <w:divBdr>
        <w:top w:val="none" w:sz="0" w:space="0" w:color="auto"/>
        <w:left w:val="none" w:sz="0" w:space="0" w:color="auto"/>
        <w:bottom w:val="none" w:sz="0" w:space="0" w:color="auto"/>
        <w:right w:val="none" w:sz="0" w:space="0" w:color="auto"/>
      </w:divBdr>
    </w:div>
    <w:div w:id="1162770567">
      <w:bodyDiv w:val="1"/>
      <w:marLeft w:val="0"/>
      <w:marRight w:val="0"/>
      <w:marTop w:val="0"/>
      <w:marBottom w:val="0"/>
      <w:divBdr>
        <w:top w:val="none" w:sz="0" w:space="0" w:color="auto"/>
        <w:left w:val="none" w:sz="0" w:space="0" w:color="auto"/>
        <w:bottom w:val="none" w:sz="0" w:space="0" w:color="auto"/>
        <w:right w:val="none" w:sz="0" w:space="0" w:color="auto"/>
      </w:divBdr>
    </w:div>
    <w:div w:id="1217204386">
      <w:bodyDiv w:val="1"/>
      <w:marLeft w:val="0"/>
      <w:marRight w:val="0"/>
      <w:marTop w:val="0"/>
      <w:marBottom w:val="0"/>
      <w:divBdr>
        <w:top w:val="none" w:sz="0" w:space="0" w:color="auto"/>
        <w:left w:val="none" w:sz="0" w:space="0" w:color="auto"/>
        <w:bottom w:val="none" w:sz="0" w:space="0" w:color="auto"/>
        <w:right w:val="none" w:sz="0" w:space="0" w:color="auto"/>
      </w:divBdr>
    </w:div>
    <w:div w:id="1385636307">
      <w:bodyDiv w:val="1"/>
      <w:marLeft w:val="0"/>
      <w:marRight w:val="0"/>
      <w:marTop w:val="0"/>
      <w:marBottom w:val="0"/>
      <w:divBdr>
        <w:top w:val="none" w:sz="0" w:space="0" w:color="auto"/>
        <w:left w:val="none" w:sz="0" w:space="0" w:color="auto"/>
        <w:bottom w:val="none" w:sz="0" w:space="0" w:color="auto"/>
        <w:right w:val="none" w:sz="0" w:space="0" w:color="auto"/>
      </w:divBdr>
    </w:div>
    <w:div w:id="1529222125">
      <w:bodyDiv w:val="1"/>
      <w:marLeft w:val="0"/>
      <w:marRight w:val="0"/>
      <w:marTop w:val="0"/>
      <w:marBottom w:val="0"/>
      <w:divBdr>
        <w:top w:val="none" w:sz="0" w:space="0" w:color="auto"/>
        <w:left w:val="none" w:sz="0" w:space="0" w:color="auto"/>
        <w:bottom w:val="none" w:sz="0" w:space="0" w:color="auto"/>
        <w:right w:val="none" w:sz="0" w:space="0" w:color="auto"/>
      </w:divBdr>
    </w:div>
    <w:div w:id="1653363310">
      <w:bodyDiv w:val="1"/>
      <w:marLeft w:val="0"/>
      <w:marRight w:val="0"/>
      <w:marTop w:val="0"/>
      <w:marBottom w:val="0"/>
      <w:divBdr>
        <w:top w:val="none" w:sz="0" w:space="0" w:color="auto"/>
        <w:left w:val="none" w:sz="0" w:space="0" w:color="auto"/>
        <w:bottom w:val="none" w:sz="0" w:space="0" w:color="auto"/>
        <w:right w:val="none" w:sz="0" w:space="0" w:color="auto"/>
      </w:divBdr>
    </w:div>
    <w:div w:id="1983583668">
      <w:bodyDiv w:val="1"/>
      <w:marLeft w:val="0"/>
      <w:marRight w:val="0"/>
      <w:marTop w:val="0"/>
      <w:marBottom w:val="0"/>
      <w:divBdr>
        <w:top w:val="none" w:sz="0" w:space="0" w:color="auto"/>
        <w:left w:val="none" w:sz="0" w:space="0" w:color="auto"/>
        <w:bottom w:val="none" w:sz="0" w:space="0" w:color="auto"/>
        <w:right w:val="none" w:sz="0" w:space="0" w:color="auto"/>
      </w:divBdr>
    </w:div>
    <w:div w:id="20066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5D07C-50C6-40A7-BFF4-76DE11AB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Mazarico</dc:creator>
  <cp:keywords/>
  <dc:description/>
  <cp:lastModifiedBy>Elisabeth Mazarico</cp:lastModifiedBy>
  <cp:revision>3</cp:revision>
  <cp:lastPrinted>2024-06-18T06:04:00Z</cp:lastPrinted>
  <dcterms:created xsi:type="dcterms:W3CDTF">2024-06-18T07:46:00Z</dcterms:created>
  <dcterms:modified xsi:type="dcterms:W3CDTF">2024-06-18T07:48:00Z</dcterms:modified>
</cp:coreProperties>
</file>