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000000">
      <w:pPr>
        <w:pStyle w:val="Ttol1"/>
        <w:ind w:left="432" w:hanging="432"/>
        <w:rPr>
          <w:rFonts w:ascii="Calibri" w:hAnsi="Calibri" w:cs="Calibri"/>
          <w:b/>
          <w:bCs/>
          <w:color w:val="auto"/>
          <w:sz w:val="20"/>
          <w:szCs w:val="20"/>
        </w:rPr>
      </w:pPr>
      <w:bookmarkStart w:id="0" w:name="_Toc151989109"/>
      <w:r>
        <w:rPr>
          <w:rFonts w:ascii="Calibri" w:hAnsi="Calibri" w:cs="Calibri"/>
          <w:b/>
          <w:bCs/>
          <w:color w:val="auto"/>
          <w:sz w:val="20"/>
          <w:szCs w:val="20"/>
        </w:rPr>
        <w:t>ANNEX 4: PENALITATS PER INCOMPLIMENT PARCIAL O PER COMPLIMENT DEFECTUÓS</w:t>
      </w:r>
      <w:bookmarkEnd w:id="0"/>
    </w:p>
    <w:p w:rsidR="00E72E7F" w:rsidRDefault="00E72E7F">
      <w:pPr>
        <w:spacing w:before="0" w:after="0" w:line="240" w:lineRule="auto"/>
      </w:pP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L’adjudicatari del contracte haurà de rescabalar a GIACSA pels danys i indemnitzar‐la pels perjudicis derivats de dol o negligència en el compliment de les obligacions resultants de l’adjudicació. Igualment serà responsable dels danys i perjudicis ocasionats a terceres persones durant l’execució del contracte.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L’incompliment o compliment defectuós de les obligacions contractuals, donarà lloc a la imposició de penalitats. La tipificació de les faltes als efectes del present contracte, es descriuen a continuació: 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Lleus: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Manca de col·laboració amb el personal de GIACSA.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L’incompliment de l’execució parcial de les prestacions definides en el contracte, que no constitueixi falta greu.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La manca de lliurament, en temps i forma, de tota la informació respecte de la prestació de les actuacions realitzades que li hagi estat sol·licitada per GIACSA.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Incompliment de la normativa sobre Prevenció de Riscos Laborals, qualificats com a lleus per la seva normativa específica.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Endarreriment en l’inici de les actuacions urgents, més enllà del termini establert en la oferta.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Greus: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La resistència als requeriments efectuats per GIACSA, o la seva inobservança.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L’incompliment de l’execució parcial de les prestacions definides en el contracte, que no constitueixi falta molt greu.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Reincidència en la comissió de faltes lleus.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L’incompliment, que no constitueixi falta molt greu, de les obligacions derivades de la normativa general sobre prevenció de riscs laborals, i en especial, les del pla de seguretat i salut en les prestacions, qualificats com a Greus per la seva normativa específica.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Endarreriment per segona vegada en l’inici de les actuacions urgents, més enllà del termini establert en la oferta.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 Molt greus: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Incompliment de la prestació de l’actuació acordada, bé sigui per abandonament o d’altres causes.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Passivitat, deixament i desídia en la prestació del servei objecte del contracte.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La resistència als requeriments efectuats per GIACSA o la seva inobservança, quan produeixi un perjudici molt greu a l’execució del contracte.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La utilització de sistemes de treball, elements, infraestructura o personal diferents als previstos en els Plecs i en les ofertes de l’adjudicatària, si s’escau, quan produeixi un perjudici molt greu.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·        Incompliment molt greu de les prescripcions relatives a la subcontractació, si s’escau.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Falsejament de les prestacions consignades per l’adjudicatària a la factura.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Reincidència en faltes greus.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Incompliment de la normativa sobre Prevenció de Riscos Laborals, qualificats com a molt greus per la seva normativa específica, i en especial de les del Pla de seguretat i salut en les prestacions.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L’incompliment de les prescripcions sobre seguretat de tercers en les prestacions.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En cas d’incompliment de les obligacions en matèria mediambiental, social o laboral.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Endarreriment per tercera vegada en l’inici de les actuacions urgents, més enllà del termini establert en la oferta.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 la tramitació de l’expedient, es donarà audiència a l’adjudicatària perquè pugui formular les al·legacions que estimi pertinents i l’òrgan de contractació de l’entitat contractant resoldrà.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GIACSA podrà aplicar les penalitzacions següents: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Faltes MOLT GREUS: 10% de l’import del contracte.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Faltes GREUS: 5% de l’import del contracte.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Faltes LLEUS: 3 % de l’import del contracte.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L’import de les penalitzacions podrà fer‐se efectiu mitjançant la seva deducció en la factura/ les factures que s’hagi/n d’abonar a l’adjudicatària, responent‐ne igualment la garantia definitiva.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 quantia total de les penalitats no podrà superar el 50% del preu del contracte. En el cas que superin l’esmentat import, es procedirà a la resolució contractual.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Igualment, GIACSA, atenent a les circumstàncies del cas, en cas de faltes molt greus podrà optar entre la resolució del contracte o per la imposició de la penalitat que correspongui.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Sens perjudici de poder aplicar, ateses les circumstancies de cada cas, la facultat resolutòria del contracte, en aplicació dels articles 193.3 i 193.4 de la LCSP s’estableixen les següents penalitats per demora en l’execució del contracte:</w:t>
      </w:r>
    </w:p>
    <w:p w:rsidR="00E72E7F" w:rsidRDefault="00000000">
      <w:pPr>
        <w:spacing w:before="0" w:after="160" w:line="240" w:lineRule="auto"/>
      </w:pP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b/>
          <w:bCs/>
          <w:sz w:val="20"/>
          <w:szCs w:val="20"/>
        </w:rPr>
        <w:t>Penalitzacions sobre software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Penalitats diàries en la proporció de 1% del import del projecte per dia natural de retard sobre el calendari previst de lliurament del corresponent projecte.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        Penalitat per cada 10 dies d’endarreriment, en la documentació i transferència de coneixement de 0,5% facturació de la partida de serveis per cada dia natural d’endarreriment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Els ANS pactats amb GIACSA són d'obligat compliment. En cas d'incompliment s'aplicaran de manera automàtica, com a mínim, les penalitzacions especificades en el present plec.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L’adjudicatari haurà de generar mensualment la informació especificada corresponent als ANS. L'acceptació d'aquesta informació per part de GIACSA, és requisit previ al pagament de la facturació.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El model d'ANS defineix els indicadors i els nivells de servei exigits, i estableix una base objectiva i mesurable que reflecteixi el compromís entre l’adjudicatari i GIACSA per a prestar els serveis requerits de forma satisfactòria (veure punt 9 PPTP).</w:t>
      </w:r>
    </w:p>
    <w:p w:rsidR="00E72E7F" w:rsidRDefault="00000000">
      <w:pPr>
        <w:spacing w:before="0" w:after="160" w:line="240" w:lineRule="auto"/>
      </w:pP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  <w:u w:val="single"/>
        </w:rPr>
        <w:t>ANS de termini de lliurament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Penalització: 1% del import del corresponent projecte per cada dia natural de retràs sobre el calendari previst de lliurament d’aquest projecte.</w:t>
      </w:r>
    </w:p>
    <w:p w:rsidR="00E72E7F" w:rsidRDefault="00000000">
      <w:pPr>
        <w:spacing w:before="0" w:after="160" w:line="240" w:lineRule="auto"/>
      </w:pP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  <w:u w:val="single"/>
        </w:rPr>
        <w:t>ANS de disponibilitat de servei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Penalització: Quan el valor de la disponibilitat d’un element sigui inferior al 99,5%, el proveïdor concedirà a GIACSA un abonament per un 1% sobre la quota mensual, corresponent als serveis afectats, per cada 0,1% de desviació.</w:t>
      </w:r>
    </w:p>
    <w:p w:rsidR="00E72E7F" w:rsidRDefault="00000000">
      <w:pPr>
        <w:spacing w:before="0" w:after="160" w:line="240" w:lineRule="auto"/>
      </w:pP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  <w:u w:val="single"/>
        </w:rPr>
        <w:t>ANS lliurament de la documentació i transferència de coneixements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Penalització: A partir dels 10 dies d’endarreriment, 0,5% facturació anual de la partida de serveis per cada dia natural d’endarreriment (11 dia i successius).</w:t>
      </w:r>
    </w:p>
    <w:p w:rsidR="00E72E7F" w:rsidRDefault="00000000">
      <w:pPr>
        <w:spacing w:before="0" w:after="160" w:line="240" w:lineRule="auto"/>
      </w:pP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  <w:u w:val="single"/>
        </w:rPr>
        <w:t>ANS de temps de sol·licituds i resolució d’incidències</w:t>
      </w:r>
    </w:p>
    <w:p w:rsidR="00E72E7F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Penalització: s’aplicarà la classificació de les penalitzacions incloses i determinades en aquest annex com a lleus, greus i molt greus.</w:t>
      </w:r>
    </w:p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E72E7F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72E7F" w:rsidRDefault="00E72E7F"/>
    <w:sectPr w:rsidR="00E72E7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DC1" w:rsidRDefault="00787DC1">
      <w:pPr>
        <w:spacing w:before="0" w:after="0" w:line="240" w:lineRule="auto"/>
      </w:pPr>
      <w:r>
        <w:separator/>
      </w:r>
    </w:p>
  </w:endnote>
  <w:endnote w:type="continuationSeparator" w:id="0">
    <w:p w:rsidR="00787DC1" w:rsidRDefault="00787D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DC1" w:rsidRDefault="00787DC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7DC1" w:rsidRDefault="00787D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5103"/>
    </w:tblGrid>
    <w:tr w:rsidR="006923FB">
      <w:tblPrEx>
        <w:tblCellMar>
          <w:top w:w="0" w:type="dxa"/>
          <w:bottom w:w="0" w:type="dxa"/>
        </w:tblCellMar>
      </w:tblPrEx>
      <w:trPr>
        <w:trHeight w:val="1063"/>
        <w:jc w:val="center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00000" w:rsidRDefault="00000000">
          <w:pPr>
            <w:tabs>
              <w:tab w:val="center" w:pos="4252"/>
              <w:tab w:val="right" w:pos="8504"/>
            </w:tabs>
            <w:spacing w:after="0" w:line="240" w:lineRule="auto"/>
          </w:pPr>
          <w:bookmarkStart w:id="1" w:name="_Hlk16607504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69210</wp:posOffset>
                </wp:positionH>
                <wp:positionV relativeFrom="page">
                  <wp:posOffset>29846</wp:posOffset>
                </wp:positionV>
                <wp:extent cx="801371" cy="972821"/>
                <wp:effectExtent l="152400" t="114300" r="151129" b="208279"/>
                <wp:wrapNone/>
                <wp:docPr id="1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1" cy="97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  <a:effectLst>
                          <a:outerShdw blurRad="152400" dist="50804" dir="5400000" algn="tl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00000" w:rsidRDefault="00000000">
          <w:pPr>
            <w:spacing w:line="276" w:lineRule="auto"/>
          </w:pPr>
          <w:r>
            <w:rPr>
              <w:rFonts w:ascii="Calibri" w:hAnsi="Calibri" w:cs="Calibri"/>
              <w:b/>
              <w:bCs/>
              <w:szCs w:val="18"/>
            </w:rPr>
            <w:t>PLEC</w:t>
          </w:r>
          <w:r>
            <w:rPr>
              <w:rFonts w:ascii="Calibri" w:hAnsi="Calibri" w:cs="Calibri"/>
              <w:b/>
              <w:bCs/>
              <w:spacing w:val="-6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CLÀUSULES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PARTICULARS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QUE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HA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REGIR</w:t>
          </w:r>
          <w:r>
            <w:rPr>
              <w:rFonts w:ascii="Calibri" w:hAnsi="Calibri" w:cs="Calibri"/>
              <w:b/>
              <w:bCs/>
              <w:spacing w:val="-5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LA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LICITACIÓ, MITJANÇANT PROCEDIMENT OBERT, PER A LA INSTAL·LACIÓ, POSADA EN MARXA I MANTENIMENT DEL NOU SISTEMA DE GESTIÓ TÈCNICA, ECONÒMICA I COMERCIAL DE GESTIÓ INTEGRAL D’AIGÜES DE CATALUNYA, SA.</w:t>
          </w:r>
        </w:p>
        <w:p w:rsidR="00000000" w:rsidRDefault="00000000">
          <w:pPr>
            <w:spacing w:line="244" w:lineRule="exact"/>
            <w:jc w:val="right"/>
          </w:pPr>
          <w:r>
            <w:rPr>
              <w:rFonts w:ascii="Calibri" w:hAnsi="Calibri" w:cs="Calibri"/>
              <w:b/>
              <w:szCs w:val="18"/>
            </w:rPr>
            <w:t>EXPEDIENT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DE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LICITACIÓ</w:t>
          </w:r>
          <w:r>
            <w:rPr>
              <w:rFonts w:ascii="Calibri" w:hAnsi="Calibri" w:cs="Calibri"/>
              <w:b/>
              <w:spacing w:val="-10"/>
              <w:szCs w:val="18"/>
            </w:rPr>
            <w:t xml:space="preserve"> </w:t>
          </w:r>
          <w:r>
            <w:rPr>
              <w:rFonts w:ascii="Calibri" w:hAnsi="Calibri" w:cs="Calibri"/>
              <w:b/>
              <w:spacing w:val="-2"/>
              <w:szCs w:val="18"/>
            </w:rPr>
            <w:t>9/2024</w:t>
          </w:r>
        </w:p>
        <w:p w:rsidR="00000000" w:rsidRDefault="00000000">
          <w:pPr>
            <w:tabs>
              <w:tab w:val="center" w:pos="4252"/>
              <w:tab w:val="right" w:pos="8504"/>
            </w:tabs>
            <w:spacing w:before="0" w:after="0" w:line="210" w:lineRule="exact"/>
            <w:jc w:val="right"/>
            <w:rPr>
              <w:caps/>
              <w:color w:val="00788D"/>
              <w:sz w:val="16"/>
              <w:szCs w:val="16"/>
            </w:rPr>
          </w:pPr>
        </w:p>
      </w:tc>
    </w:tr>
    <w:bookmarkEnd w:id="1"/>
  </w:tbl>
  <w:p w:rsidR="00000000" w:rsidRDefault="0000000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2E7F"/>
    <w:rsid w:val="004B4830"/>
    <w:rsid w:val="00787DC1"/>
    <w:rsid w:val="00E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B646-E5BA-42BE-8C7F-B0B814B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ca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 w:after="240" w:line="240" w:lineRule="exact"/>
      <w:jc w:val="both"/>
    </w:pPr>
    <w:rPr>
      <w:rFonts w:ascii="Raleway Medium" w:hAnsi="Raleway Medium"/>
      <w:kern w:val="0"/>
      <w:sz w:val="18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ol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ol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tol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ol2Car">
    <w:name w:val="Títol 2 Car"/>
    <w:basedOn w:val="Lletraperdefectedelpargra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ol3Car">
    <w:name w:val="Títol 3 Car"/>
    <w:basedOn w:val="Lletraperdefectedelpargraf"/>
    <w:rPr>
      <w:rFonts w:eastAsia="Times New Roman" w:cs="Times New Roman"/>
      <w:color w:val="2F5496"/>
      <w:sz w:val="28"/>
      <w:szCs w:val="28"/>
    </w:rPr>
  </w:style>
  <w:style w:type="character" w:customStyle="1" w:styleId="Ttol4Car">
    <w:name w:val="Títol 4 Car"/>
    <w:basedOn w:val="Lletraperdefectedelpargraf"/>
    <w:rPr>
      <w:rFonts w:eastAsia="Times New Roman" w:cs="Times New Roman"/>
      <w:i/>
      <w:iCs/>
      <w:color w:val="2F5496"/>
    </w:rPr>
  </w:style>
  <w:style w:type="character" w:customStyle="1" w:styleId="Ttol5Car">
    <w:name w:val="Títol 5 Car"/>
    <w:basedOn w:val="Lletraperdefectedelpargraf"/>
    <w:rPr>
      <w:rFonts w:eastAsia="Times New Roman" w:cs="Times New Roman"/>
      <w:color w:val="2F5496"/>
    </w:rPr>
  </w:style>
  <w:style w:type="character" w:customStyle="1" w:styleId="Ttol6Car">
    <w:name w:val="Títol 6 Car"/>
    <w:basedOn w:val="Lletraperdefectedelpargraf"/>
    <w:rPr>
      <w:rFonts w:eastAsia="Times New Roman" w:cs="Times New Roman"/>
      <w:i/>
      <w:iCs/>
      <w:color w:val="595959"/>
    </w:rPr>
  </w:style>
  <w:style w:type="character" w:customStyle="1" w:styleId="Ttol7Car">
    <w:name w:val="Títol 7 Car"/>
    <w:basedOn w:val="Lletraperdefectedelpargraf"/>
    <w:rPr>
      <w:rFonts w:eastAsia="Times New Roman" w:cs="Times New Roman"/>
      <w:color w:val="595959"/>
    </w:rPr>
  </w:style>
  <w:style w:type="character" w:customStyle="1" w:styleId="Ttol8Car">
    <w:name w:val="Títol 8 Car"/>
    <w:basedOn w:val="Lletraperdefectedelpargraf"/>
    <w:rPr>
      <w:rFonts w:eastAsia="Times New Roman" w:cs="Times New Roman"/>
      <w:i/>
      <w:iCs/>
      <w:color w:val="272727"/>
    </w:rPr>
  </w:style>
  <w:style w:type="character" w:customStyle="1" w:styleId="Ttol9Car">
    <w:name w:val="Títol 9 Car"/>
    <w:basedOn w:val="Lletraperdefectedelpargraf"/>
    <w:rPr>
      <w:rFonts w:eastAsia="Times New Roman" w:cs="Times New Roman"/>
      <w:color w:val="272727"/>
    </w:rPr>
  </w:style>
  <w:style w:type="paragraph" w:styleId="Tto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tolCar">
    <w:name w:val="Títol Car"/>
    <w:basedOn w:val="Lletraperdefectedelpargra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ol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olCar">
    <w:name w:val="Subtítol Car"/>
    <w:basedOn w:val="Lletraperdefectedelpargraf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rPr>
      <w:i/>
      <w:iCs/>
      <w:color w:val="404040"/>
    </w:rPr>
  </w:style>
  <w:style w:type="paragraph" w:styleId="Pargrafdellista">
    <w:name w:val="List Paragraph"/>
    <w:basedOn w:val="Normal"/>
    <w:pPr>
      <w:ind w:left="720"/>
      <w:contextualSpacing/>
    </w:pPr>
  </w:style>
  <w:style w:type="character" w:styleId="mfasiintens">
    <w:name w:val="Intense Emphasis"/>
    <w:basedOn w:val="Lletraperdefectedelpargraf"/>
    <w:rPr>
      <w:i/>
      <w:iCs/>
      <w:color w:val="2F5496"/>
    </w:rPr>
  </w:style>
  <w:style w:type="paragraph" w:styleId="Citaintens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intensaCar">
    <w:name w:val="Cita intensa Car"/>
    <w:basedOn w:val="Lletraperdefectedelpargraf"/>
    <w:rPr>
      <w:i/>
      <w:iCs/>
      <w:color w:val="2F5496"/>
    </w:rPr>
  </w:style>
  <w:style w:type="character" w:styleId="Refernciaintensa">
    <w:name w:val="Intense Reference"/>
    <w:basedOn w:val="Lletraperdefectedelpargraf"/>
    <w:rPr>
      <w:b/>
      <w:bCs/>
      <w:smallCaps/>
      <w:color w:val="2F5496"/>
      <w:spacing w:val="5"/>
    </w:rPr>
  </w:style>
  <w:style w:type="paragraph" w:styleId="Capalera">
    <w:name w:val="head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rPr>
      <w:rFonts w:ascii="Raleway Medium" w:hAnsi="Raleway Medium"/>
      <w:kern w:val="0"/>
      <w:sz w:val="18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rPr>
      <w:rFonts w:ascii="Raleway Medium" w:hAnsi="Raleway Medium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Aigües de Bellpuig</dc:creator>
  <dc:description/>
  <cp:lastModifiedBy>Silvia Traveset</cp:lastModifiedBy>
  <cp:revision>2</cp:revision>
  <dcterms:created xsi:type="dcterms:W3CDTF">2024-05-17T13:19:00Z</dcterms:created>
  <dcterms:modified xsi:type="dcterms:W3CDTF">2024-05-17T13:19:00Z</dcterms:modified>
</cp:coreProperties>
</file>