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66E7" w14:textId="77777777" w:rsidR="000E655E" w:rsidRPr="00B46ACA" w:rsidRDefault="000E655E" w:rsidP="00E76B84">
      <w:pPr>
        <w:jc w:val="both"/>
        <w:rPr>
          <w:rFonts w:ascii="Arial" w:hAnsi="Arial" w:cs="Arial"/>
          <w:b/>
          <w:sz w:val="28"/>
        </w:rPr>
      </w:pPr>
      <w:r w:rsidRPr="00B46ACA">
        <w:rPr>
          <w:rFonts w:ascii="Arial" w:hAnsi="Arial" w:cs="Arial"/>
          <w:b/>
          <w:sz w:val="28"/>
        </w:rPr>
        <w:t>ANNEX 1</w:t>
      </w:r>
      <w:r w:rsidR="00A66C50">
        <w:rPr>
          <w:rFonts w:ascii="Arial" w:hAnsi="Arial" w:cs="Arial"/>
          <w:b/>
          <w:sz w:val="28"/>
        </w:rPr>
        <w:t xml:space="preserve"> - PPT</w:t>
      </w:r>
      <w:r w:rsidRPr="00B46ACA">
        <w:rPr>
          <w:rFonts w:ascii="Arial" w:hAnsi="Arial" w:cs="Arial"/>
          <w:b/>
          <w:sz w:val="28"/>
        </w:rPr>
        <w:t xml:space="preserve">: CARACTERÍSTIQUES TÈCNIQUES </w:t>
      </w:r>
      <w:r w:rsidR="002B106E">
        <w:rPr>
          <w:rFonts w:ascii="Arial" w:hAnsi="Arial" w:cs="Arial"/>
          <w:b/>
          <w:sz w:val="28"/>
        </w:rPr>
        <w:t>DE</w:t>
      </w:r>
      <w:r w:rsidR="00A84068" w:rsidRPr="00B46ACA">
        <w:rPr>
          <w:rFonts w:ascii="Arial" w:hAnsi="Arial" w:cs="Arial"/>
          <w:b/>
          <w:sz w:val="28"/>
        </w:rPr>
        <w:t xml:space="preserve"> </w:t>
      </w:r>
      <w:r w:rsidR="0010122D">
        <w:rPr>
          <w:rFonts w:ascii="Arial" w:hAnsi="Arial" w:cs="Arial"/>
          <w:b/>
          <w:sz w:val="28"/>
        </w:rPr>
        <w:t xml:space="preserve">FUNGIBLE </w:t>
      </w:r>
      <w:r w:rsidR="002B106E">
        <w:rPr>
          <w:rFonts w:ascii="Arial" w:hAnsi="Arial" w:cs="Arial"/>
          <w:b/>
          <w:sz w:val="28"/>
        </w:rPr>
        <w:t xml:space="preserve">(6 </w:t>
      </w:r>
      <w:commentRangeStart w:id="0"/>
      <w:r w:rsidR="002B106E">
        <w:rPr>
          <w:rFonts w:ascii="Arial" w:hAnsi="Arial" w:cs="Arial"/>
          <w:b/>
          <w:sz w:val="28"/>
        </w:rPr>
        <w:t>LOTS</w:t>
      </w:r>
      <w:commentRangeEnd w:id="0"/>
      <w:r w:rsidR="0086112E">
        <w:rPr>
          <w:rStyle w:val="Refdecomentario"/>
        </w:rPr>
        <w:commentReference w:id="0"/>
      </w:r>
      <w:r w:rsidR="002B106E">
        <w:rPr>
          <w:rFonts w:ascii="Arial" w:hAnsi="Arial" w:cs="Arial"/>
          <w:b/>
          <w:sz w:val="28"/>
        </w:rPr>
        <w:t>)</w:t>
      </w:r>
    </w:p>
    <w:p w14:paraId="6CF47DAA" w14:textId="77777777" w:rsidR="000E655E" w:rsidRDefault="000E655E" w:rsidP="00E76B84">
      <w:pPr>
        <w:jc w:val="both"/>
        <w:rPr>
          <w:rFonts w:ascii="Arial" w:hAnsi="Arial" w:cs="Arial"/>
        </w:rPr>
      </w:pPr>
      <w:r w:rsidRPr="00B46ACA">
        <w:rPr>
          <w:rFonts w:ascii="Arial" w:hAnsi="Arial" w:cs="Arial"/>
        </w:rPr>
        <w:t>Cal acreditar el compliment de tots els requeriments descrits en aquest document, per tal de procedir a la valoració econòmica i qualitativa de l’oferta presentada.</w:t>
      </w:r>
    </w:p>
    <w:p w14:paraId="7A85C31D" w14:textId="77777777" w:rsidR="005B7C7B" w:rsidRDefault="005B7C7B" w:rsidP="00E76B84">
      <w:pPr>
        <w:jc w:val="both"/>
        <w:rPr>
          <w:rFonts w:ascii="Arial" w:hAnsi="Arial" w:cs="Arial"/>
        </w:rPr>
      </w:pPr>
    </w:p>
    <w:tbl>
      <w:tblPr>
        <w:tblW w:w="1488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1430"/>
        <w:gridCol w:w="3531"/>
        <w:gridCol w:w="6946"/>
      </w:tblGrid>
      <w:tr w:rsidR="004D0351" w:rsidRPr="004D0351" w14:paraId="10A927E7" w14:textId="77777777" w:rsidTr="002B106E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9B2026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LOT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22D524E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DENOMINACIÓ LOT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BB67F5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REFERÈNCIA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8FF1F3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DENOMINACIÓ REFERÈNCIA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441F037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DESCRIPCIÓ TÈCNICA</w:t>
            </w:r>
            <w:r w:rsidR="00E834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OBLIGATORIA, CALDRÀ APORTAR FOTOGRAFIA I CADUCITAT. </w:t>
            </w:r>
          </w:p>
        </w:tc>
      </w:tr>
      <w:tr w:rsidR="002B106E" w:rsidRPr="004D0351" w14:paraId="2E4AC9D4" w14:textId="77777777" w:rsidTr="002B106E">
        <w:trPr>
          <w:trHeight w:val="154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C0E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556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MATERIAL RESPIRACI</w:t>
            </w:r>
            <w:bookmarkStart w:id="1" w:name="_GoBack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Ó</w:t>
            </w:r>
            <w:bookmarkEnd w:id="1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C52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FRR011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0BF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Filtre respirador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45A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Filtre electrostàtic de baix volum, antibacterià, antivíric i hidròfob. D'un sol ús. Lliure de làtex, DEHP i PVC. Retenció bacteriana 99,99%. Retenció vírica 99,9%. Volum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</w:t>
            </w:r>
            <w:r w:rsidRPr="00A2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entre 100 i 500 ml. Connectors 22M/15F-22F/15M. Amb port de mostreig amb connexió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luer-lock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compatible amb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Oxylog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3000/3000+.</w:t>
            </w:r>
          </w:p>
        </w:tc>
      </w:tr>
      <w:tr w:rsidR="002B106E" w:rsidRPr="004D0351" w14:paraId="00CB4D2F" w14:textId="77777777" w:rsidTr="002B106E">
        <w:trPr>
          <w:trHeight w:val="69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8849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09D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AB0F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FTM037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C4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Mascareta VNI talla L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9B3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Mascareta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oronasal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vorell de silicona amb forma anatòmica. Amb suport ajustable per al front amb coixinet de silicona. Arnès de cap de 4 punts de fixació. Fixacions de tipus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velcro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a un ajust ràpid i senzill. Pinces de fixació integrades en l'arnès de cap per a un alliberament ràpid. Arnès de cap unit a la mascareta. Port d’accés per sonda nasogàstrica de 12-18 Fr de diàmetre. Colze estàndard de gir doble que permet rotació completa. Sense vàlvula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antiasfixia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ni ports d'espiració. Mides S,M,L.</w:t>
            </w:r>
          </w:p>
        </w:tc>
      </w:tr>
      <w:tr w:rsidR="002B106E" w:rsidRPr="004D0351" w14:paraId="69D2CB4C" w14:textId="77777777" w:rsidTr="002B106E">
        <w:trPr>
          <w:trHeight w:val="7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BFF2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5F6A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22D7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FTM038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C36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Mascareta VNI talla M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9B5B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2B106E" w:rsidRPr="004D0351" w14:paraId="24EBD079" w14:textId="77777777" w:rsidTr="002B106E">
        <w:trPr>
          <w:trHeight w:val="7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94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356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6578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FTM039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486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Mascareta VNI talla S</w:t>
            </w: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89AE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4D0351" w:rsidRPr="004D0351" w14:paraId="572BBA39" w14:textId="77777777" w:rsidTr="002B106E">
        <w:trPr>
          <w:trHeight w:val="17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79E4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E1B0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02D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MRE067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620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Tubuladura de respirador d'un ús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30E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Sistema de pacient complet d’un sol ús, inclou la tubuladura de pacient, tubs de mediació, el sensor de flux, vàlvula aspiratòria i la peça en colze. Mitjançant al sensor de flux incorporat a l'equip, realitza les mediacions de pressions, volums i fluxos que es mostra a la pantalla. Compatible amb respirador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Oxylog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3000/3000+.</w:t>
            </w:r>
          </w:p>
        </w:tc>
      </w:tr>
      <w:tr w:rsidR="004D0351" w:rsidRPr="004D0351" w14:paraId="169CC103" w14:textId="77777777" w:rsidTr="002B106E">
        <w:trPr>
          <w:trHeight w:val="15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0A41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885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FUNGIBLE PER ALT FLUXE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60B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FCS051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1A9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prematurs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D0A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 La part que toca el rostre ha de ser de fàcil adaptació per evitar desplaçaments, desconnexions o reduir els punts de pressió facial. Ha de dur un tipus de subjecció confortable i que s' ajusti bé al pacient prematur de pes menor de 2 kg. Tub independent per cada fossa nasal. Compatible amb humidificador MR850 de F&amp;P. Lliure de làtex, PVC o ftalats (DEHP, DBP, BBP).</w:t>
            </w:r>
          </w:p>
        </w:tc>
      </w:tr>
      <w:tr w:rsidR="004D0351" w:rsidRPr="004D0351" w14:paraId="1CBC43E6" w14:textId="77777777" w:rsidTr="002B106E">
        <w:trPr>
          <w:trHeight w:val="156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48B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41AA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74C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FCS052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812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nounats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EF3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 La part que toca el rostre ha de ser de fàcil adaptació per evitar desplaçaments, desconnexions o reduir els punts de pressió facial. Ha de dur un tipus de subjecció confortable i que s' ajusti bé al pacient neonatal de 1 a 8 kg de pes. Tub independent per cada fossa nasal. Compatible amb humidificador MR850 de F&amp;P. Lliure de làtex, PVC o ftalats (DEHP, DBP, BBP).</w:t>
            </w:r>
          </w:p>
        </w:tc>
      </w:tr>
      <w:tr w:rsidR="004D0351" w:rsidRPr="004D0351" w14:paraId="7EE8B880" w14:textId="77777777" w:rsidTr="002B106E">
        <w:trPr>
          <w:trHeight w:val="15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9D4D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F82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1D81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FCS053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F4E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infantil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D7A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 La part que toca el rostre ha de ser de fàcil adaptació per evitar desplaçaments, desconnexions o reduir els punts de pressió facial. Ha de dur un tipus de subjecció confortable i que s' ajusti bé al pacient infantil de 3 a 15 kg de pes. Tub independent per cada fossa nasal. Compatible amb humidificador MR850 de F&amp;P. Lliure de làtex, PVC o ftalats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(DEHP, DBP, BBP).</w:t>
            </w:r>
          </w:p>
        </w:tc>
      </w:tr>
      <w:tr w:rsidR="004D0351" w:rsidRPr="004D0351" w14:paraId="3D5F2029" w14:textId="77777777" w:rsidTr="002B106E">
        <w:trPr>
          <w:trHeight w:val="154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F5C5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565D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8C8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FCS054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992F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pediàtrica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275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 La part que toca el rostre ha de ser de fàcil adaptació per evitar desplaçaments, desconnexions o reduir els punts de pressió facial. Ha de dur un tipus de subjecció confortable i que s' ajusti bé al pacient pediàtric de 12 a 22 kg de pes. Tub independent per cada fossa nasal. Compatible amb humidificador MR850 de F&amp;P. Lliure de làtex, PVC o ftalats (DEHP, DBP, BBP).</w:t>
            </w:r>
          </w:p>
        </w:tc>
      </w:tr>
      <w:tr w:rsidR="004D0351" w:rsidRPr="004D0351" w14:paraId="61980DAC" w14:textId="77777777" w:rsidTr="002B106E">
        <w:trPr>
          <w:trHeight w:val="12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8FD4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5DB5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AA3F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MRE103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CEC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Tubuladura d'alt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pediàtrica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FC0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Kit de circuit per aplicació d'alt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. Format per circuit inspiratori escalfat amb doble aïllament. Amb vàlvula de protecció que limita la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retropressió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del dispositiu. Cambra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autoemplenable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 Clip de fixació.  Caudal màxim (L/min) 25. Compatible amb  humidificador MR850 de F&amp;P i cànules nasals  OPTIFLOWTM JUNIOR. Lliure de làtex, PVC o ftalats (DEHP, DBP, BBP).</w:t>
            </w:r>
          </w:p>
        </w:tc>
      </w:tr>
      <w:tr w:rsidR="004D0351" w:rsidRPr="004D0351" w14:paraId="2C9E0E9F" w14:textId="77777777" w:rsidTr="002B106E">
        <w:trPr>
          <w:trHeight w:val="10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251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74E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TUBULADURES D'UN ÚS PER RESPIRADOR DE TURBINA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8ED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MRE106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A8E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Tubuladura d'un ús adult per respirador </w:t>
            </w: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br/>
              <w:t>de turbina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4BE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Circuit d'un sol ús per respirador per pacient adult. Compatible amb respirador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Ventway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. Longitud 2,4 m. Espai mort 31 cc. Diàmetre tub corrugat de 22 mm. Volum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Tidal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subministrat superior a 200 cc.</w:t>
            </w:r>
          </w:p>
        </w:tc>
      </w:tr>
      <w:tr w:rsidR="004D0351" w:rsidRPr="004D0351" w14:paraId="13BD4E4E" w14:textId="77777777" w:rsidTr="002B106E">
        <w:trPr>
          <w:trHeight w:val="10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C2F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96C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F9E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MRE107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989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Tubuladura d'un ús pediàtrica per respirador </w:t>
            </w: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br/>
              <w:t>de turbina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BE5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Circuit d'un sol ús per respirador per pacient pediàtric. Compatible amb respirador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Ventway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.  Longitud 2,4 m. Espai mort 29 cc. Diàmetre tub corrugat de 15 mm. Volum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Tidal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subministrat de 50 cc a 200 cc.</w:t>
            </w:r>
          </w:p>
        </w:tc>
      </w:tr>
      <w:tr w:rsidR="004D0351" w:rsidRPr="004D0351" w14:paraId="233C8BD5" w14:textId="77777777" w:rsidTr="002B106E">
        <w:trPr>
          <w:trHeight w:val="199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BF34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8ED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TUBULADURA D'ALT FLUXE PER HUMIDIFICADOR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C951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MRE104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B4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Kit respir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atori (universal) per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oxigenotè</w:t>
            </w: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rapia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cànula nasal d'alt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415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Kit que inclou</w:t>
            </w: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; Tub respiratori escalfat per al subministrament de gasos humidificats amb resistència escalfada en espiral mitjançant cables fins i cambra d'aire aïllant al llarg del tub. Cambra auto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emplenable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(MR290). Connexió compatible amb nebulitzadors de malla vibratòria de 22 mm. Sensors de temperatura integrats en el circuit. Connexió 2 en 1 per a interfases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Optiflow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TM i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Optiflow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Junior TM (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refs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 OPT316/8, OJR416/8) per pacient adult i pediàtric. Per a ús amb dispositius AIRVO/AIRVO 2.</w:t>
            </w:r>
          </w:p>
        </w:tc>
      </w:tr>
      <w:tr w:rsidR="004D0351" w:rsidRPr="004D0351" w14:paraId="7608FD41" w14:textId="77777777" w:rsidTr="002B106E">
        <w:trPr>
          <w:trHeight w:val="6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38AD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DEF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ROTLLE PAPER TÈRMIC ESPECIAL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8C1AF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FRR020</w:t>
            </w:r>
          </w:p>
        </w:tc>
        <w:tc>
          <w:tcPr>
            <w:tcW w:w="3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B1179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Rotlle paper tèrmic especial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997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Rotlle paper tèrmic 210x30 mm en rotlle continu, compatible amb la impressora “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Brother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PocketJet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PJ-763.</w:t>
            </w:r>
          </w:p>
        </w:tc>
      </w:tr>
      <w:tr w:rsidR="004D0351" w:rsidRPr="004D0351" w14:paraId="6139C3F4" w14:textId="77777777" w:rsidTr="002B106E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9ED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7EA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ROTLLE MONITOR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EA6" w14:textId="77777777" w:rsidR="004D0351" w:rsidRPr="004D0351" w:rsidRDefault="004D0351" w:rsidP="004D03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FRR010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CB3" w14:textId="77777777" w:rsidR="004D0351" w:rsidRPr="004D0351" w:rsidRDefault="004D0351" w:rsidP="004D03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Rotlle monitor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311" w14:textId="77777777" w:rsidR="004D0351" w:rsidRPr="004D0351" w:rsidRDefault="004D0351" w:rsidP="004961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Paper tèrmic d'un gramatge de 58+-5g/m2 i una espessor de 59+-4 micres. De mida 106mmx23m. Diàmetre intern de 16mm amb canó de plàstic. Compatible amb monitor </w:t>
            </w:r>
            <w:proofErr w:type="spellStart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Corpuls</w:t>
            </w:r>
            <w:proofErr w:type="spellEnd"/>
            <w:r w:rsidRPr="004D0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3.</w:t>
            </w:r>
          </w:p>
        </w:tc>
      </w:tr>
    </w:tbl>
    <w:p w14:paraId="001F4B00" w14:textId="77777777" w:rsidR="000B5DC9" w:rsidRDefault="000B5DC9" w:rsidP="00E76B84">
      <w:pPr>
        <w:jc w:val="both"/>
        <w:rPr>
          <w:rFonts w:ascii="Arial" w:hAnsi="Arial" w:cs="Arial"/>
        </w:rPr>
      </w:pPr>
    </w:p>
    <w:sectPr w:rsidR="000B5DC9" w:rsidSect="004D0351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reia Faz Garcia" w:date="2024-02-15T12:25:00Z" w:initials="MFG">
    <w:p w14:paraId="786A4D90" w14:textId="77777777" w:rsidR="0086112E" w:rsidRDefault="0086112E">
      <w:pPr>
        <w:pStyle w:val="Textocomentario"/>
      </w:pPr>
      <w:r>
        <w:rPr>
          <w:rStyle w:val="Refdecomentario"/>
        </w:rPr>
        <w:annotationRef/>
      </w:r>
      <w:r>
        <w:t xml:space="preserve">Cal preparar un model de fitxa que el licitador ha d’omplir ell: </w:t>
      </w:r>
    </w:p>
    <w:p w14:paraId="212E7324" w14:textId="77777777" w:rsidR="0086112E" w:rsidRDefault="0086112E">
      <w:pPr>
        <w:pStyle w:val="Textocomentario"/>
      </w:pPr>
    </w:p>
    <w:p w14:paraId="0E04003A" w14:textId="77777777" w:rsidR="0086112E" w:rsidRDefault="0086112E">
      <w:pPr>
        <w:pStyle w:val="Textocomentario"/>
      </w:pPr>
      <w:proofErr w:type="spellStart"/>
      <w:r>
        <w:t>Fildre</w:t>
      </w:r>
      <w:proofErr w:type="spellEnd"/>
      <w:r>
        <w:t xml:space="preserve"> </w:t>
      </w:r>
      <w:proofErr w:type="spellStart"/>
      <w:r>
        <w:t>electrostratic</w:t>
      </w:r>
      <w:proofErr w:type="spellEnd"/>
      <w:r>
        <w:t xml:space="preserve"> de baix </w:t>
      </w:r>
      <w:proofErr w:type="spellStart"/>
      <w:r>
        <w:t>vilum</w:t>
      </w:r>
      <w:proofErr w:type="spellEnd"/>
      <w:r>
        <w:t>: si – no</w:t>
      </w:r>
    </w:p>
    <w:p w14:paraId="4A8963DF" w14:textId="77777777" w:rsidR="0086112E" w:rsidRDefault="0086112E">
      <w:pPr>
        <w:pStyle w:val="Textocomentario"/>
      </w:pPr>
      <w:proofErr w:type="spellStart"/>
      <w:r>
        <w:t>Antibactería</w:t>
      </w:r>
      <w:proofErr w:type="spellEnd"/>
      <w:r>
        <w:t xml:space="preserve">: si –no </w:t>
      </w:r>
    </w:p>
    <w:p w14:paraId="13C941B3" w14:textId="77777777" w:rsidR="0086112E" w:rsidRDefault="0086112E">
      <w:pPr>
        <w:pStyle w:val="Textocomentario"/>
      </w:pPr>
      <w:proofErr w:type="spellStart"/>
      <w:r>
        <w:t>Etc</w:t>
      </w:r>
      <w:proofErr w:type="spellEnd"/>
      <w:r>
        <w:t xml:space="preserve"> ...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C941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F403C" w14:textId="77777777" w:rsidR="00F7005C" w:rsidRDefault="00F7005C" w:rsidP="000E655E">
      <w:pPr>
        <w:spacing w:after="0" w:line="240" w:lineRule="auto"/>
      </w:pPr>
      <w:r>
        <w:separator/>
      </w:r>
    </w:p>
  </w:endnote>
  <w:endnote w:type="continuationSeparator" w:id="0">
    <w:p w14:paraId="5BBF5BB2" w14:textId="77777777" w:rsidR="00F7005C" w:rsidRDefault="00F7005C" w:rsidP="000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043995"/>
      <w:docPartObj>
        <w:docPartGallery w:val="Page Numbers (Bottom of Page)"/>
        <w:docPartUnique/>
      </w:docPartObj>
    </w:sdtPr>
    <w:sdtEndPr/>
    <w:sdtContent>
      <w:p w14:paraId="2B4FE238" w14:textId="77777777" w:rsidR="00F7005C" w:rsidRDefault="00F7005C">
        <w:pPr>
          <w:pStyle w:val="Piedepgina"/>
          <w:jc w:val="right"/>
        </w:pPr>
        <w:r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63360" behindDoc="0" locked="0" layoutInCell="1" allowOverlap="1" wp14:anchorId="62CD3477" wp14:editId="7562AD4B">
              <wp:simplePos x="0" y="0"/>
              <wp:positionH relativeFrom="margin">
                <wp:align>right</wp:align>
              </wp:positionH>
              <wp:positionV relativeFrom="paragraph">
                <wp:posOffset>65405</wp:posOffset>
              </wp:positionV>
              <wp:extent cx="1310640" cy="323850"/>
              <wp:effectExtent l="0" t="0" r="3810" b="0"/>
              <wp:wrapNone/>
              <wp:docPr id="11" name="Imatge 10" descr="S/Sistema de Salut de Cataluny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1_SALUT_MARCA_COLO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064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61312" behindDoc="0" locked="0" layoutInCell="1" allowOverlap="1" wp14:anchorId="659EFDF2" wp14:editId="1F8115BE">
              <wp:simplePos x="0" y="0"/>
              <wp:positionH relativeFrom="margin">
                <wp:posOffset>-428625</wp:posOffset>
              </wp:positionH>
              <wp:positionV relativeFrom="paragraph">
                <wp:posOffset>20955</wp:posOffset>
              </wp:positionV>
              <wp:extent cx="1257300" cy="320675"/>
              <wp:effectExtent l="0" t="0" r="0" b="3175"/>
              <wp:wrapSquare wrapText="bothSides"/>
              <wp:docPr id="17" name="Imatge 3" descr="Logotip Generalitat de Cataluny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GenCat_50gri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320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112E" w:rsidRPr="0086112E">
          <w:rPr>
            <w:noProof/>
            <w:lang w:val="es-ES"/>
          </w:rPr>
          <w:t>3</w:t>
        </w:r>
        <w:r>
          <w:fldChar w:fldCharType="end"/>
        </w:r>
      </w:p>
    </w:sdtContent>
  </w:sdt>
  <w:p w14:paraId="32A64501" w14:textId="77777777" w:rsidR="00F7005C" w:rsidRDefault="00F700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EC082" w14:textId="77777777" w:rsidR="00F7005C" w:rsidRDefault="00F7005C" w:rsidP="000E655E">
      <w:pPr>
        <w:spacing w:after="0" w:line="240" w:lineRule="auto"/>
      </w:pPr>
      <w:r>
        <w:separator/>
      </w:r>
    </w:p>
  </w:footnote>
  <w:footnote w:type="continuationSeparator" w:id="0">
    <w:p w14:paraId="1BF4809C" w14:textId="77777777" w:rsidR="00F7005C" w:rsidRDefault="00F7005C" w:rsidP="000E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A6F3" w14:textId="77777777" w:rsidR="00F7005C" w:rsidRDefault="00F7005C">
    <w:pPr>
      <w:pStyle w:val="Encabezado"/>
    </w:pPr>
    <w:r w:rsidRPr="00AA6BC3">
      <w:rPr>
        <w:noProof/>
        <w:color w:val="8EBCF9"/>
        <w:sz w:val="52"/>
        <w:szCs w:val="72"/>
        <w:lang w:val="es-ES" w:eastAsia="es-ES"/>
      </w:rPr>
      <w:drawing>
        <wp:anchor distT="0" distB="0" distL="114300" distR="114300" simplePos="0" relativeHeight="251659264" behindDoc="0" locked="0" layoutInCell="1" allowOverlap="1" wp14:anchorId="5EBE789C" wp14:editId="4C25D79B">
          <wp:simplePos x="0" y="0"/>
          <wp:positionH relativeFrom="margin">
            <wp:posOffset>-600350</wp:posOffset>
          </wp:positionH>
          <wp:positionV relativeFrom="paragraph">
            <wp:posOffset>-55529</wp:posOffset>
          </wp:positionV>
          <wp:extent cx="2311989" cy="286603"/>
          <wp:effectExtent l="0" t="0" r="0" b="0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4C9D"/>
    <w:multiLevelType w:val="hybridMultilevel"/>
    <w:tmpl w:val="CB2285E8"/>
    <w:lvl w:ilvl="0" w:tplc="D7300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0BAB"/>
    <w:multiLevelType w:val="hybridMultilevel"/>
    <w:tmpl w:val="CBD8A092"/>
    <w:lvl w:ilvl="0" w:tplc="FFA4CD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7890"/>
    <w:multiLevelType w:val="hybridMultilevel"/>
    <w:tmpl w:val="6DB89A3C"/>
    <w:lvl w:ilvl="0" w:tplc="1B7CB7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0F96"/>
    <w:multiLevelType w:val="hybridMultilevel"/>
    <w:tmpl w:val="FC641DEA"/>
    <w:lvl w:ilvl="0" w:tplc="C6D44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BA8"/>
    <w:multiLevelType w:val="hybridMultilevel"/>
    <w:tmpl w:val="0A9E966E"/>
    <w:lvl w:ilvl="0" w:tplc="ACE8C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5806"/>
    <w:multiLevelType w:val="hybridMultilevel"/>
    <w:tmpl w:val="C7D4A5A4"/>
    <w:lvl w:ilvl="0" w:tplc="DB8E7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6254C"/>
    <w:multiLevelType w:val="hybridMultilevel"/>
    <w:tmpl w:val="A66E492C"/>
    <w:lvl w:ilvl="0" w:tplc="28441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1470"/>
    <w:multiLevelType w:val="hybridMultilevel"/>
    <w:tmpl w:val="732CF27A"/>
    <w:lvl w:ilvl="0" w:tplc="23721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54EC"/>
    <w:multiLevelType w:val="hybridMultilevel"/>
    <w:tmpl w:val="8200C10C"/>
    <w:lvl w:ilvl="0" w:tplc="01F44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6BD5"/>
    <w:multiLevelType w:val="hybridMultilevel"/>
    <w:tmpl w:val="9ACE5D54"/>
    <w:lvl w:ilvl="0" w:tplc="AC1A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6923"/>
    <w:multiLevelType w:val="hybridMultilevel"/>
    <w:tmpl w:val="50B2489C"/>
    <w:lvl w:ilvl="0" w:tplc="3E1C3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92BEE"/>
    <w:multiLevelType w:val="hybridMultilevel"/>
    <w:tmpl w:val="14CC5E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E06E4"/>
    <w:multiLevelType w:val="hybridMultilevel"/>
    <w:tmpl w:val="09D0DCAE"/>
    <w:lvl w:ilvl="0" w:tplc="D7300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764C"/>
    <w:multiLevelType w:val="hybridMultilevel"/>
    <w:tmpl w:val="08E4783E"/>
    <w:lvl w:ilvl="0" w:tplc="840A1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511D5"/>
    <w:multiLevelType w:val="hybridMultilevel"/>
    <w:tmpl w:val="487622CC"/>
    <w:lvl w:ilvl="0" w:tplc="2C808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6204C"/>
    <w:multiLevelType w:val="hybridMultilevel"/>
    <w:tmpl w:val="70F85606"/>
    <w:lvl w:ilvl="0" w:tplc="69D6CBA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1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eia Faz Garcia">
    <w15:presenceInfo w15:providerId="AD" w15:userId="S-1-5-21-3730767010-3693639285-485581567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5E"/>
    <w:rsid w:val="00000082"/>
    <w:rsid w:val="000456DC"/>
    <w:rsid w:val="000B5DC9"/>
    <w:rsid w:val="000E655E"/>
    <w:rsid w:val="000F16F5"/>
    <w:rsid w:val="0010122D"/>
    <w:rsid w:val="00105912"/>
    <w:rsid w:val="00181BBC"/>
    <w:rsid w:val="00197741"/>
    <w:rsid w:val="001A7957"/>
    <w:rsid w:val="002349DB"/>
    <w:rsid w:val="002447A8"/>
    <w:rsid w:val="0025142C"/>
    <w:rsid w:val="00273045"/>
    <w:rsid w:val="002B106E"/>
    <w:rsid w:val="002D1B3A"/>
    <w:rsid w:val="0039233D"/>
    <w:rsid w:val="00392983"/>
    <w:rsid w:val="003D14EF"/>
    <w:rsid w:val="003D321B"/>
    <w:rsid w:val="003E7FCF"/>
    <w:rsid w:val="00442366"/>
    <w:rsid w:val="00453FEF"/>
    <w:rsid w:val="00491B09"/>
    <w:rsid w:val="0049612E"/>
    <w:rsid w:val="004C7D72"/>
    <w:rsid w:val="004D0351"/>
    <w:rsid w:val="004D5AC8"/>
    <w:rsid w:val="004D5E27"/>
    <w:rsid w:val="004E6F66"/>
    <w:rsid w:val="0057452F"/>
    <w:rsid w:val="005B7C7B"/>
    <w:rsid w:val="006245AE"/>
    <w:rsid w:val="007F3802"/>
    <w:rsid w:val="0086112E"/>
    <w:rsid w:val="008B7E6A"/>
    <w:rsid w:val="00963143"/>
    <w:rsid w:val="009A7B62"/>
    <w:rsid w:val="00A23FB6"/>
    <w:rsid w:val="00A66C50"/>
    <w:rsid w:val="00A84068"/>
    <w:rsid w:val="00AD5DB7"/>
    <w:rsid w:val="00AF232F"/>
    <w:rsid w:val="00AF46F2"/>
    <w:rsid w:val="00AF5B34"/>
    <w:rsid w:val="00AF609F"/>
    <w:rsid w:val="00B46ACA"/>
    <w:rsid w:val="00BA6B1A"/>
    <w:rsid w:val="00C56CA7"/>
    <w:rsid w:val="00D43F50"/>
    <w:rsid w:val="00DE346E"/>
    <w:rsid w:val="00E23F93"/>
    <w:rsid w:val="00E76B84"/>
    <w:rsid w:val="00E83406"/>
    <w:rsid w:val="00F454CD"/>
    <w:rsid w:val="00F511FC"/>
    <w:rsid w:val="00F7005C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118B"/>
  <w15:chartTrackingRefBased/>
  <w15:docId w15:val="{4FD73466-D2A7-4424-B080-5187232F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5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55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E6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55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3D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B46AC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1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1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12E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1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12E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Redondo, Raquel</dc:creator>
  <cp:keywords/>
  <dc:description/>
  <cp:lastModifiedBy>Mireia Faz Garcia</cp:lastModifiedBy>
  <cp:revision>5</cp:revision>
  <cp:lastPrinted>2024-01-31T11:39:00Z</cp:lastPrinted>
  <dcterms:created xsi:type="dcterms:W3CDTF">2024-01-31T11:09:00Z</dcterms:created>
  <dcterms:modified xsi:type="dcterms:W3CDTF">2024-02-15T11:26:00Z</dcterms:modified>
</cp:coreProperties>
</file>