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65C3A" w14:textId="77777777" w:rsidR="005B5A48" w:rsidRPr="005B5A48" w:rsidRDefault="005B5A48" w:rsidP="005B5A48">
      <w:pPr>
        <w:autoSpaceDE/>
        <w:autoSpaceDN/>
        <w:adjustRightInd/>
        <w:spacing w:after="200"/>
        <w:rPr>
          <w:rFonts w:ascii="Calibri" w:eastAsia="Calibri" w:hAnsi="Calibri"/>
          <w:color w:val="000000"/>
          <w:sz w:val="22"/>
          <w:szCs w:val="22"/>
          <w:lang w:val="ca-ES"/>
        </w:rPr>
      </w:pPr>
    </w:p>
    <w:p w14:paraId="31D6AA2C" w14:textId="77777777" w:rsidR="005B5A48" w:rsidRDefault="005B5A48" w:rsidP="005B5A48">
      <w:pPr>
        <w:autoSpaceDE/>
        <w:autoSpaceDN/>
        <w:adjustRightInd/>
        <w:jc w:val="both"/>
        <w:rPr>
          <w:rFonts w:ascii="Arial" w:eastAsia="Calibri" w:hAnsi="Arial"/>
          <w:b/>
          <w:bCs/>
          <w:color w:val="000000"/>
          <w:sz w:val="22"/>
          <w:szCs w:val="22"/>
          <w:lang w:val="ca-ES"/>
        </w:rPr>
      </w:pPr>
    </w:p>
    <w:p w14:paraId="1F2CD618" w14:textId="43DDDF92" w:rsidR="005B5A48" w:rsidRPr="005B5A48" w:rsidRDefault="005B5A48" w:rsidP="005B5A48">
      <w:pPr>
        <w:autoSpaceDE/>
        <w:autoSpaceDN/>
        <w:adjustRightInd/>
        <w:jc w:val="both"/>
        <w:rPr>
          <w:rFonts w:ascii="Arial" w:eastAsia="Calibri" w:hAnsi="Arial"/>
          <w:b/>
          <w:bCs/>
          <w:color w:val="000000"/>
          <w:sz w:val="22"/>
          <w:szCs w:val="22"/>
          <w:lang w:val="ca-ES"/>
        </w:rPr>
      </w:pPr>
      <w:r w:rsidRPr="005B5A48">
        <w:rPr>
          <w:rFonts w:ascii="Arial" w:eastAsia="Calibri" w:hAnsi="Arial"/>
          <w:b/>
          <w:bCs/>
          <w:color w:val="000000"/>
          <w:sz w:val="22"/>
          <w:szCs w:val="22"/>
          <w:lang w:val="ca-ES"/>
        </w:rPr>
        <w:t>PLEC DE CLÀUSULES ADMINISTRATIVES PARTICULARS PER A LA MILLORA DE DIVERSOS CAMINS DEL MUNICIPI DE SOBREMUNT</w:t>
      </w:r>
    </w:p>
    <w:p w14:paraId="161E12F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ACA42B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C6DDD5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PROCEDIMENT OBERT SIMPLIFICAT</w:t>
      </w:r>
    </w:p>
    <w:p w14:paraId="7DD1264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BB72DB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t xml:space="preserve">ÍNDEX </w:t>
      </w:r>
      <w:r w:rsidRPr="005B5A48">
        <w:rPr>
          <w:rFonts w:ascii="Arial" w:eastAsia="Calibri" w:hAnsi="Arial"/>
          <w:color w:val="000000"/>
          <w:sz w:val="22"/>
          <w:szCs w:val="22"/>
          <w:lang w:val="ca-ES"/>
        </w:rPr>
        <w:tab/>
      </w:r>
    </w:p>
    <w:p w14:paraId="1D60B15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2180793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w:t>
      </w:r>
      <w:r w:rsidRPr="005B5A48">
        <w:rPr>
          <w:rFonts w:ascii="Arial" w:eastAsia="Calibri" w:hAnsi="Arial"/>
          <w:color w:val="000000"/>
          <w:sz w:val="22"/>
          <w:szCs w:val="22"/>
          <w:lang w:val="ca-ES"/>
        </w:rPr>
        <w:tab/>
        <w:t>DADES RELATIVES A LA FASE DE LICITACIÓ I D’ADJUDICACIÓ</w:t>
      </w:r>
      <w:r w:rsidRPr="005B5A48">
        <w:rPr>
          <w:rFonts w:ascii="Arial" w:eastAsia="Calibri" w:hAnsi="Arial"/>
          <w:color w:val="000000"/>
          <w:sz w:val="22"/>
          <w:szCs w:val="22"/>
          <w:lang w:val="ca-ES"/>
        </w:rPr>
        <w:tab/>
      </w:r>
    </w:p>
    <w:p w14:paraId="58B6798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B60643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w:t>
      </w:r>
      <w:r w:rsidRPr="005B5A48">
        <w:rPr>
          <w:rFonts w:ascii="Arial" w:eastAsia="Calibri" w:hAnsi="Arial"/>
          <w:color w:val="000000"/>
          <w:sz w:val="22"/>
          <w:szCs w:val="22"/>
          <w:lang w:val="ca-ES"/>
        </w:rPr>
        <w:tab/>
        <w:t>Definició de l'objecte del contracte.</w:t>
      </w:r>
      <w:r w:rsidRPr="005B5A48">
        <w:rPr>
          <w:rFonts w:ascii="Arial" w:eastAsia="Calibri" w:hAnsi="Arial"/>
          <w:color w:val="000000"/>
          <w:sz w:val="22"/>
          <w:szCs w:val="22"/>
          <w:lang w:val="ca-ES"/>
        </w:rPr>
        <w:tab/>
      </w:r>
    </w:p>
    <w:p w14:paraId="6BF172B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28CA9D2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1.2)</w:t>
      </w:r>
      <w:r w:rsidRPr="005B5A48">
        <w:rPr>
          <w:rFonts w:ascii="Arial" w:eastAsia="Calibri" w:hAnsi="Arial"/>
          <w:color w:val="000000"/>
          <w:sz w:val="22"/>
          <w:szCs w:val="22"/>
          <w:lang w:val="ca-ES"/>
        </w:rPr>
        <w:tab/>
        <w:t>Necessitat i idoneïtat del contracte.</w:t>
      </w:r>
      <w:r w:rsidRPr="005B5A48">
        <w:rPr>
          <w:rFonts w:ascii="Arial" w:eastAsia="Calibri" w:hAnsi="Arial"/>
          <w:color w:val="000000"/>
          <w:sz w:val="22"/>
          <w:szCs w:val="22"/>
          <w:lang w:val="ca-ES"/>
        </w:rPr>
        <w:tab/>
      </w:r>
    </w:p>
    <w:p w14:paraId="7FFB2CA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1EC831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1.3)</w:t>
      </w:r>
      <w:r w:rsidRPr="005B5A48">
        <w:rPr>
          <w:rFonts w:ascii="Arial" w:eastAsia="Calibri" w:hAnsi="Arial"/>
          <w:color w:val="000000"/>
          <w:sz w:val="22"/>
          <w:szCs w:val="22"/>
          <w:lang w:val="ca-ES"/>
        </w:rPr>
        <w:tab/>
        <w:t>Pressupost base de licitació.</w:t>
      </w:r>
      <w:r w:rsidRPr="005B5A48">
        <w:rPr>
          <w:rFonts w:ascii="Arial" w:eastAsia="Calibri" w:hAnsi="Arial"/>
          <w:color w:val="000000"/>
          <w:sz w:val="22"/>
          <w:szCs w:val="22"/>
          <w:lang w:val="ca-ES"/>
        </w:rPr>
        <w:tab/>
      </w:r>
    </w:p>
    <w:p w14:paraId="496EF35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079F12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1.4)</w:t>
      </w:r>
      <w:r w:rsidRPr="005B5A48">
        <w:rPr>
          <w:rFonts w:ascii="Arial" w:eastAsia="Calibri" w:hAnsi="Arial"/>
          <w:color w:val="000000"/>
          <w:sz w:val="22"/>
          <w:szCs w:val="22"/>
          <w:lang w:val="ca-ES"/>
        </w:rPr>
        <w:tab/>
        <w:t>Existència de crèdit.</w:t>
      </w:r>
      <w:r w:rsidRPr="005B5A48">
        <w:rPr>
          <w:rFonts w:ascii="Arial" w:eastAsia="Calibri" w:hAnsi="Arial"/>
          <w:color w:val="000000"/>
          <w:sz w:val="22"/>
          <w:szCs w:val="22"/>
          <w:lang w:val="ca-ES"/>
        </w:rPr>
        <w:tab/>
      </w:r>
    </w:p>
    <w:p w14:paraId="21242C0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03B99C0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1.5)</w:t>
      </w:r>
      <w:r w:rsidRPr="005B5A48">
        <w:rPr>
          <w:rFonts w:ascii="Arial" w:eastAsia="Calibri" w:hAnsi="Arial"/>
          <w:color w:val="000000"/>
          <w:sz w:val="22"/>
          <w:szCs w:val="22"/>
          <w:lang w:val="ca-ES"/>
        </w:rPr>
        <w:tab/>
        <w:t>Durada del contracte i possibles pròrrogues.</w:t>
      </w:r>
      <w:r w:rsidRPr="005B5A48">
        <w:rPr>
          <w:rFonts w:ascii="Arial" w:eastAsia="Calibri" w:hAnsi="Arial"/>
          <w:color w:val="000000"/>
          <w:sz w:val="22"/>
          <w:szCs w:val="22"/>
          <w:lang w:val="ca-ES"/>
        </w:rPr>
        <w:tab/>
      </w:r>
    </w:p>
    <w:p w14:paraId="02A374B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3C13E7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1.6)</w:t>
      </w:r>
      <w:r w:rsidRPr="005B5A48">
        <w:rPr>
          <w:rFonts w:ascii="Arial" w:eastAsia="Calibri" w:hAnsi="Arial"/>
          <w:color w:val="000000"/>
          <w:sz w:val="22"/>
          <w:szCs w:val="22"/>
          <w:lang w:val="ca-ES"/>
        </w:rPr>
        <w:tab/>
        <w:t>Valor estimat.</w:t>
      </w:r>
      <w:r w:rsidRPr="005B5A48">
        <w:rPr>
          <w:rFonts w:ascii="Arial" w:eastAsia="Calibri" w:hAnsi="Arial"/>
          <w:color w:val="000000"/>
          <w:sz w:val="22"/>
          <w:szCs w:val="22"/>
          <w:lang w:val="ca-ES"/>
        </w:rPr>
        <w:tab/>
      </w:r>
    </w:p>
    <w:p w14:paraId="3787091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275AE3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1.7)</w:t>
      </w:r>
      <w:r w:rsidRPr="005B5A48">
        <w:rPr>
          <w:rFonts w:ascii="Arial" w:eastAsia="Calibri" w:hAnsi="Arial"/>
          <w:color w:val="000000"/>
          <w:sz w:val="22"/>
          <w:szCs w:val="22"/>
          <w:lang w:val="ca-ES"/>
        </w:rPr>
        <w:tab/>
        <w:t>Tramitació de l’expedient  i procediment d’adjudicació.</w:t>
      </w:r>
      <w:r w:rsidRPr="005B5A48">
        <w:rPr>
          <w:rFonts w:ascii="Arial" w:eastAsia="Calibri" w:hAnsi="Arial"/>
          <w:color w:val="000000"/>
          <w:sz w:val="22"/>
          <w:szCs w:val="22"/>
          <w:lang w:val="ca-ES"/>
        </w:rPr>
        <w:tab/>
      </w:r>
    </w:p>
    <w:p w14:paraId="07A990E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0F27EF3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1.8)</w:t>
      </w:r>
      <w:r w:rsidRPr="005B5A48">
        <w:rPr>
          <w:rFonts w:ascii="Arial" w:eastAsia="Calibri" w:hAnsi="Arial"/>
          <w:color w:val="000000"/>
          <w:sz w:val="22"/>
          <w:szCs w:val="22"/>
          <w:lang w:val="ca-ES"/>
        </w:rPr>
        <w:tab/>
        <w:t>Perfil de contractant i mesa de contractació.</w:t>
      </w:r>
    </w:p>
    <w:p w14:paraId="0A10E4E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52A362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1.9)</w:t>
      </w:r>
      <w:r w:rsidRPr="005B5A48">
        <w:rPr>
          <w:rFonts w:ascii="Arial" w:eastAsia="Calibri" w:hAnsi="Arial"/>
          <w:color w:val="000000"/>
          <w:sz w:val="22"/>
          <w:szCs w:val="22"/>
          <w:lang w:val="ca-ES"/>
        </w:rPr>
        <w:tab/>
        <w:t>Presentació de proposicions.</w:t>
      </w:r>
      <w:r w:rsidRPr="005B5A48">
        <w:rPr>
          <w:rFonts w:ascii="Arial" w:eastAsia="Calibri" w:hAnsi="Arial"/>
          <w:color w:val="000000"/>
          <w:sz w:val="22"/>
          <w:szCs w:val="22"/>
          <w:lang w:val="ca-ES"/>
        </w:rPr>
        <w:tab/>
      </w:r>
    </w:p>
    <w:p w14:paraId="7F6D486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E7F21A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1.10)</w:t>
      </w:r>
      <w:r w:rsidRPr="005B5A48">
        <w:rPr>
          <w:rFonts w:ascii="Arial" w:eastAsia="Calibri" w:hAnsi="Arial"/>
          <w:color w:val="000000"/>
          <w:sz w:val="22"/>
          <w:szCs w:val="22"/>
          <w:lang w:val="ca-ES"/>
        </w:rPr>
        <w:tab/>
        <w:t>Condicions mínimes i mitjans d'acreditació de la solvència econòmica i financera i professional o tècnica i altres requeriments.</w:t>
      </w:r>
      <w:r w:rsidRPr="005B5A48">
        <w:rPr>
          <w:rFonts w:ascii="Arial" w:eastAsia="Calibri" w:hAnsi="Arial"/>
          <w:color w:val="000000"/>
          <w:sz w:val="22"/>
          <w:szCs w:val="22"/>
          <w:lang w:val="ca-ES"/>
        </w:rPr>
        <w:tab/>
      </w:r>
    </w:p>
    <w:p w14:paraId="0E3C0C1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0A7CBA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1.11)</w:t>
      </w:r>
      <w:r w:rsidRPr="005B5A48">
        <w:rPr>
          <w:rFonts w:ascii="Arial" w:eastAsia="Calibri" w:hAnsi="Arial"/>
          <w:color w:val="000000"/>
          <w:sz w:val="22"/>
          <w:szCs w:val="22"/>
          <w:lang w:val="ca-ES"/>
        </w:rPr>
        <w:tab/>
        <w:t>Criteris d'adjudicació.</w:t>
      </w:r>
      <w:r w:rsidRPr="005B5A48">
        <w:rPr>
          <w:rFonts w:ascii="Arial" w:eastAsia="Calibri" w:hAnsi="Arial"/>
          <w:color w:val="000000"/>
          <w:sz w:val="22"/>
          <w:szCs w:val="22"/>
          <w:lang w:val="ca-ES"/>
        </w:rPr>
        <w:tab/>
      </w:r>
    </w:p>
    <w:p w14:paraId="303DB47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A4031E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1.12)</w:t>
      </w:r>
      <w:r w:rsidRPr="005B5A48">
        <w:rPr>
          <w:rFonts w:ascii="Arial" w:eastAsia="Calibri" w:hAnsi="Arial"/>
          <w:color w:val="000000"/>
          <w:sz w:val="22"/>
          <w:szCs w:val="22"/>
          <w:lang w:val="ca-ES"/>
        </w:rPr>
        <w:tab/>
        <w:t>Criteris de desempat.</w:t>
      </w:r>
      <w:r w:rsidRPr="005B5A48">
        <w:rPr>
          <w:rFonts w:ascii="Arial" w:eastAsia="Calibri" w:hAnsi="Arial"/>
          <w:color w:val="000000"/>
          <w:sz w:val="22"/>
          <w:szCs w:val="22"/>
          <w:lang w:val="ca-ES"/>
        </w:rPr>
        <w:tab/>
      </w:r>
    </w:p>
    <w:p w14:paraId="1BC78FD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1E5D69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1.13)</w:t>
      </w:r>
      <w:r w:rsidRPr="005B5A48">
        <w:rPr>
          <w:rFonts w:ascii="Arial" w:eastAsia="Calibri" w:hAnsi="Arial"/>
          <w:color w:val="000000"/>
          <w:sz w:val="22"/>
          <w:szCs w:val="22"/>
          <w:lang w:val="ca-ES"/>
        </w:rPr>
        <w:tab/>
        <w:t>Termini per a l’adjudicació.</w:t>
      </w:r>
      <w:r w:rsidRPr="005B5A48">
        <w:rPr>
          <w:rFonts w:ascii="Arial" w:eastAsia="Calibri" w:hAnsi="Arial"/>
          <w:color w:val="000000"/>
          <w:sz w:val="22"/>
          <w:szCs w:val="22"/>
          <w:lang w:val="ca-ES"/>
        </w:rPr>
        <w:tab/>
      </w:r>
    </w:p>
    <w:p w14:paraId="796539A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B610E9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1.14)</w:t>
      </w:r>
      <w:r w:rsidRPr="005B5A48">
        <w:rPr>
          <w:rFonts w:ascii="Arial" w:eastAsia="Calibri" w:hAnsi="Arial"/>
          <w:color w:val="000000"/>
          <w:sz w:val="22"/>
          <w:szCs w:val="22"/>
          <w:lang w:val="ca-ES"/>
        </w:rPr>
        <w:tab/>
        <w:t>Variants.</w:t>
      </w:r>
      <w:r w:rsidRPr="005B5A48">
        <w:rPr>
          <w:rFonts w:ascii="Arial" w:eastAsia="Calibri" w:hAnsi="Arial"/>
          <w:color w:val="000000"/>
          <w:sz w:val="22"/>
          <w:szCs w:val="22"/>
          <w:lang w:val="ca-ES"/>
        </w:rPr>
        <w:tab/>
      </w:r>
    </w:p>
    <w:p w14:paraId="157876F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978B49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1.15)</w:t>
      </w:r>
      <w:r w:rsidRPr="005B5A48">
        <w:rPr>
          <w:rFonts w:ascii="Arial" w:eastAsia="Calibri" w:hAnsi="Arial"/>
          <w:color w:val="000000"/>
          <w:sz w:val="22"/>
          <w:szCs w:val="22"/>
          <w:lang w:val="ca-ES"/>
        </w:rPr>
        <w:tab/>
        <w:t>Ofertes anormalment baixes.</w:t>
      </w:r>
      <w:r w:rsidRPr="005B5A48">
        <w:rPr>
          <w:rFonts w:ascii="Arial" w:eastAsia="Calibri" w:hAnsi="Arial"/>
          <w:color w:val="000000"/>
          <w:sz w:val="22"/>
          <w:szCs w:val="22"/>
          <w:lang w:val="ca-ES"/>
        </w:rPr>
        <w:tab/>
      </w:r>
    </w:p>
    <w:p w14:paraId="36B54DB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47424A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1.16)</w:t>
      </w:r>
      <w:r w:rsidRPr="005B5A48">
        <w:rPr>
          <w:rFonts w:ascii="Arial" w:eastAsia="Calibri" w:hAnsi="Arial"/>
          <w:color w:val="000000"/>
          <w:sz w:val="22"/>
          <w:szCs w:val="22"/>
          <w:lang w:val="ca-ES"/>
        </w:rPr>
        <w:tab/>
        <w:t>Garantia provisional.</w:t>
      </w:r>
      <w:r w:rsidRPr="005B5A48">
        <w:rPr>
          <w:rFonts w:ascii="Arial" w:eastAsia="Calibri" w:hAnsi="Arial"/>
          <w:color w:val="000000"/>
          <w:sz w:val="22"/>
          <w:szCs w:val="22"/>
          <w:lang w:val="ca-ES"/>
        </w:rPr>
        <w:tab/>
      </w:r>
    </w:p>
    <w:p w14:paraId="56AFD29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22EF19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1.17)</w:t>
      </w:r>
      <w:r w:rsidRPr="005B5A48">
        <w:rPr>
          <w:rFonts w:ascii="Arial" w:eastAsia="Calibri" w:hAnsi="Arial"/>
          <w:color w:val="000000"/>
          <w:sz w:val="22"/>
          <w:szCs w:val="22"/>
          <w:lang w:val="ca-ES"/>
        </w:rPr>
        <w:tab/>
        <w:t>Garantia definitiva.</w:t>
      </w:r>
      <w:r w:rsidRPr="005B5A48">
        <w:rPr>
          <w:rFonts w:ascii="Arial" w:eastAsia="Calibri" w:hAnsi="Arial"/>
          <w:color w:val="000000"/>
          <w:sz w:val="22"/>
          <w:szCs w:val="22"/>
          <w:lang w:val="ca-ES"/>
        </w:rPr>
        <w:tab/>
      </w:r>
    </w:p>
    <w:p w14:paraId="4DF684D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05542B2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1.18)</w:t>
      </w:r>
      <w:r w:rsidRPr="005B5A48">
        <w:rPr>
          <w:rFonts w:ascii="Arial" w:eastAsia="Calibri" w:hAnsi="Arial"/>
          <w:color w:val="000000"/>
          <w:sz w:val="22"/>
          <w:szCs w:val="22"/>
          <w:lang w:val="ca-ES"/>
        </w:rPr>
        <w:tab/>
        <w:t>Presentació de documentació.</w:t>
      </w:r>
      <w:r w:rsidRPr="005B5A48">
        <w:rPr>
          <w:rFonts w:ascii="Arial" w:eastAsia="Calibri" w:hAnsi="Arial"/>
          <w:color w:val="000000"/>
          <w:sz w:val="22"/>
          <w:szCs w:val="22"/>
          <w:lang w:val="ca-ES"/>
        </w:rPr>
        <w:tab/>
      </w:r>
    </w:p>
    <w:p w14:paraId="0907CC8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ab/>
      </w:r>
      <w:r w:rsidRPr="005B5A48">
        <w:rPr>
          <w:rFonts w:ascii="Arial" w:eastAsia="Calibri" w:hAnsi="Arial"/>
          <w:color w:val="000000"/>
          <w:sz w:val="22"/>
          <w:szCs w:val="22"/>
          <w:lang w:val="ca-ES"/>
        </w:rPr>
        <w:tab/>
      </w:r>
    </w:p>
    <w:p w14:paraId="0B3E700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1.19)</w:t>
      </w:r>
      <w:r w:rsidRPr="005B5A48">
        <w:rPr>
          <w:rFonts w:ascii="Arial" w:eastAsia="Calibri" w:hAnsi="Arial"/>
          <w:color w:val="000000"/>
          <w:sz w:val="22"/>
          <w:szCs w:val="22"/>
          <w:lang w:val="ca-ES"/>
        </w:rPr>
        <w:tab/>
        <w:t>Formalització del contracte.</w:t>
      </w:r>
      <w:r w:rsidRPr="005B5A48">
        <w:rPr>
          <w:rFonts w:ascii="Arial" w:eastAsia="Calibri" w:hAnsi="Arial"/>
          <w:color w:val="000000"/>
          <w:sz w:val="22"/>
          <w:szCs w:val="22"/>
          <w:lang w:val="ca-ES"/>
        </w:rPr>
        <w:tab/>
      </w:r>
    </w:p>
    <w:p w14:paraId="755D52C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83C7A2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326DAF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w:t>
      </w:r>
      <w:r w:rsidRPr="005B5A48">
        <w:rPr>
          <w:rFonts w:ascii="Arial" w:eastAsia="Calibri" w:hAnsi="Arial"/>
          <w:color w:val="000000"/>
          <w:sz w:val="22"/>
          <w:szCs w:val="22"/>
          <w:lang w:val="ca-ES"/>
        </w:rPr>
        <w:tab/>
        <w:t>DADES RELATIVES A LA FASE D’EXECUCIÓ</w:t>
      </w:r>
      <w:r w:rsidRPr="005B5A48">
        <w:rPr>
          <w:rFonts w:ascii="Arial" w:eastAsia="Calibri" w:hAnsi="Arial"/>
          <w:color w:val="000000"/>
          <w:sz w:val="22"/>
          <w:szCs w:val="22"/>
          <w:lang w:val="ca-ES"/>
        </w:rPr>
        <w:tab/>
      </w:r>
    </w:p>
    <w:p w14:paraId="64AA594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762F805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w:t>
      </w:r>
      <w:r w:rsidRPr="005B5A48">
        <w:rPr>
          <w:rFonts w:ascii="Arial" w:eastAsia="Calibri" w:hAnsi="Arial"/>
          <w:color w:val="000000"/>
          <w:sz w:val="22"/>
          <w:szCs w:val="22"/>
          <w:lang w:val="ca-ES"/>
        </w:rPr>
        <w:tab/>
        <w:t>Drets i obligacions de les parts.</w:t>
      </w:r>
      <w:r w:rsidRPr="005B5A48">
        <w:rPr>
          <w:rFonts w:ascii="Arial" w:eastAsia="Calibri" w:hAnsi="Arial"/>
          <w:color w:val="000000"/>
          <w:sz w:val="22"/>
          <w:szCs w:val="22"/>
          <w:lang w:val="ca-ES"/>
        </w:rPr>
        <w:tab/>
      </w:r>
    </w:p>
    <w:p w14:paraId="175C308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6BE5C1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2.2)</w:t>
      </w:r>
      <w:r w:rsidRPr="005B5A48">
        <w:rPr>
          <w:rFonts w:ascii="Arial" w:eastAsia="Calibri" w:hAnsi="Arial"/>
          <w:color w:val="000000"/>
          <w:sz w:val="22"/>
          <w:szCs w:val="22"/>
          <w:lang w:val="ca-ES"/>
        </w:rPr>
        <w:tab/>
        <w:t>Condicions especials d’execució.</w:t>
      </w:r>
      <w:r w:rsidRPr="005B5A48">
        <w:rPr>
          <w:rFonts w:ascii="Arial" w:eastAsia="Calibri" w:hAnsi="Arial"/>
          <w:color w:val="000000"/>
          <w:sz w:val="22"/>
          <w:szCs w:val="22"/>
          <w:lang w:val="ca-ES"/>
        </w:rPr>
        <w:tab/>
      </w:r>
    </w:p>
    <w:p w14:paraId="0FE0EA2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282B7C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2.3)</w:t>
      </w:r>
      <w:r w:rsidRPr="005B5A48">
        <w:rPr>
          <w:rFonts w:ascii="Arial" w:eastAsia="Calibri" w:hAnsi="Arial"/>
          <w:color w:val="000000"/>
          <w:sz w:val="22"/>
          <w:szCs w:val="22"/>
          <w:lang w:val="ca-ES"/>
        </w:rPr>
        <w:tab/>
        <w:t>Modificació del contracte.</w:t>
      </w:r>
      <w:r w:rsidRPr="005B5A48">
        <w:rPr>
          <w:rFonts w:ascii="Arial" w:eastAsia="Calibri" w:hAnsi="Arial"/>
          <w:color w:val="000000"/>
          <w:sz w:val="22"/>
          <w:szCs w:val="22"/>
          <w:lang w:val="ca-ES"/>
        </w:rPr>
        <w:tab/>
      </w:r>
    </w:p>
    <w:p w14:paraId="2BD1F5B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0CC107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2.4)</w:t>
      </w:r>
      <w:r w:rsidRPr="005B5A48">
        <w:rPr>
          <w:rFonts w:ascii="Arial" w:eastAsia="Calibri" w:hAnsi="Arial"/>
          <w:color w:val="000000"/>
          <w:sz w:val="22"/>
          <w:szCs w:val="22"/>
          <w:lang w:val="ca-ES"/>
        </w:rPr>
        <w:tab/>
        <w:t>Règim de pagament.</w:t>
      </w:r>
      <w:r w:rsidRPr="005B5A48">
        <w:rPr>
          <w:rFonts w:ascii="Arial" w:eastAsia="Calibri" w:hAnsi="Arial"/>
          <w:color w:val="000000"/>
          <w:sz w:val="22"/>
          <w:szCs w:val="22"/>
          <w:lang w:val="ca-ES"/>
        </w:rPr>
        <w:tab/>
      </w:r>
    </w:p>
    <w:p w14:paraId="1FA0C52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75B74E4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2.5)</w:t>
      </w:r>
      <w:r w:rsidRPr="005B5A48">
        <w:rPr>
          <w:rFonts w:ascii="Arial" w:eastAsia="Calibri" w:hAnsi="Arial"/>
          <w:color w:val="000000"/>
          <w:sz w:val="22"/>
          <w:szCs w:val="22"/>
          <w:lang w:val="ca-ES"/>
        </w:rPr>
        <w:tab/>
        <w:t>Revisió de preus.</w:t>
      </w:r>
      <w:r w:rsidRPr="005B5A48">
        <w:rPr>
          <w:rFonts w:ascii="Arial" w:eastAsia="Calibri" w:hAnsi="Arial"/>
          <w:color w:val="000000"/>
          <w:sz w:val="22"/>
          <w:szCs w:val="22"/>
          <w:lang w:val="ca-ES"/>
        </w:rPr>
        <w:tab/>
      </w:r>
    </w:p>
    <w:p w14:paraId="14435BC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7724B48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2.6)</w:t>
      </w:r>
      <w:r w:rsidRPr="005B5A48">
        <w:rPr>
          <w:rFonts w:ascii="Arial" w:eastAsia="Calibri" w:hAnsi="Arial"/>
          <w:color w:val="000000"/>
          <w:sz w:val="22"/>
          <w:szCs w:val="22"/>
          <w:lang w:val="ca-ES"/>
        </w:rPr>
        <w:tab/>
        <w:t>Penalitats.</w:t>
      </w:r>
      <w:r w:rsidRPr="005B5A48">
        <w:rPr>
          <w:rFonts w:ascii="Arial" w:eastAsia="Calibri" w:hAnsi="Arial"/>
          <w:color w:val="000000"/>
          <w:sz w:val="22"/>
          <w:szCs w:val="22"/>
          <w:lang w:val="ca-ES"/>
        </w:rPr>
        <w:tab/>
      </w:r>
    </w:p>
    <w:p w14:paraId="562EE46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FFD2E5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2.7)</w:t>
      </w:r>
      <w:r w:rsidRPr="005B5A48">
        <w:rPr>
          <w:rFonts w:ascii="Arial" w:eastAsia="Calibri" w:hAnsi="Arial"/>
          <w:color w:val="000000"/>
          <w:sz w:val="22"/>
          <w:szCs w:val="22"/>
          <w:lang w:val="ca-ES"/>
        </w:rPr>
        <w:tab/>
        <w:t>Causes de resolució.</w:t>
      </w:r>
      <w:r w:rsidRPr="005B5A48">
        <w:rPr>
          <w:rFonts w:ascii="Arial" w:eastAsia="Calibri" w:hAnsi="Arial"/>
          <w:color w:val="000000"/>
          <w:sz w:val="22"/>
          <w:szCs w:val="22"/>
          <w:lang w:val="ca-ES"/>
        </w:rPr>
        <w:tab/>
      </w:r>
    </w:p>
    <w:p w14:paraId="0EE7A12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71E8EC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2.8)</w:t>
      </w:r>
      <w:r w:rsidRPr="005B5A48">
        <w:rPr>
          <w:rFonts w:ascii="Arial" w:eastAsia="Calibri" w:hAnsi="Arial"/>
          <w:color w:val="000000"/>
          <w:sz w:val="22"/>
          <w:szCs w:val="22"/>
          <w:lang w:val="ca-ES"/>
        </w:rPr>
        <w:tab/>
        <w:t>Termini de recepció de les prestacions del contracte.</w:t>
      </w:r>
      <w:r w:rsidRPr="005B5A48">
        <w:rPr>
          <w:rFonts w:ascii="Arial" w:eastAsia="Calibri" w:hAnsi="Arial"/>
          <w:color w:val="000000"/>
          <w:sz w:val="22"/>
          <w:szCs w:val="22"/>
          <w:lang w:val="ca-ES"/>
        </w:rPr>
        <w:tab/>
      </w:r>
    </w:p>
    <w:p w14:paraId="1A57CC1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53E8FB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2.9)</w:t>
      </w:r>
      <w:r w:rsidRPr="005B5A48">
        <w:rPr>
          <w:rFonts w:ascii="Arial" w:eastAsia="Calibri" w:hAnsi="Arial"/>
          <w:color w:val="000000"/>
          <w:sz w:val="22"/>
          <w:szCs w:val="22"/>
          <w:lang w:val="ca-ES"/>
        </w:rPr>
        <w:tab/>
        <w:t>Termini de garantia del contracte.</w:t>
      </w:r>
      <w:r w:rsidRPr="005B5A48">
        <w:rPr>
          <w:rFonts w:ascii="Arial" w:eastAsia="Calibri" w:hAnsi="Arial"/>
          <w:color w:val="000000"/>
          <w:sz w:val="22"/>
          <w:szCs w:val="22"/>
          <w:lang w:val="ca-ES"/>
        </w:rPr>
        <w:tab/>
      </w:r>
    </w:p>
    <w:p w14:paraId="3C1C19C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D15A6E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2.10)</w:t>
      </w:r>
      <w:r w:rsidRPr="005B5A48">
        <w:rPr>
          <w:rFonts w:ascii="Arial" w:eastAsia="Calibri" w:hAnsi="Arial"/>
          <w:color w:val="000000"/>
          <w:sz w:val="22"/>
          <w:szCs w:val="22"/>
          <w:lang w:val="ca-ES"/>
        </w:rPr>
        <w:tab/>
        <w:t>Cessió.</w:t>
      </w:r>
      <w:r w:rsidRPr="005B5A48">
        <w:rPr>
          <w:rFonts w:ascii="Arial" w:eastAsia="Calibri" w:hAnsi="Arial"/>
          <w:color w:val="000000"/>
          <w:sz w:val="22"/>
          <w:szCs w:val="22"/>
          <w:lang w:val="ca-ES"/>
        </w:rPr>
        <w:tab/>
      </w:r>
    </w:p>
    <w:p w14:paraId="62B0F44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99884D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2.11)</w:t>
      </w:r>
      <w:r w:rsidRPr="005B5A48">
        <w:rPr>
          <w:rFonts w:ascii="Arial" w:eastAsia="Calibri" w:hAnsi="Arial"/>
          <w:color w:val="000000"/>
          <w:sz w:val="22"/>
          <w:szCs w:val="22"/>
          <w:lang w:val="ca-ES"/>
        </w:rPr>
        <w:tab/>
        <w:t>Subcontractació.</w:t>
      </w:r>
      <w:r w:rsidRPr="005B5A48">
        <w:rPr>
          <w:rFonts w:ascii="Arial" w:eastAsia="Calibri" w:hAnsi="Arial"/>
          <w:color w:val="000000"/>
          <w:sz w:val="22"/>
          <w:szCs w:val="22"/>
          <w:lang w:val="ca-ES"/>
        </w:rPr>
        <w:tab/>
      </w:r>
    </w:p>
    <w:p w14:paraId="2B2CEA4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7525364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2.12)</w:t>
      </w:r>
      <w:r w:rsidRPr="005B5A48">
        <w:rPr>
          <w:rFonts w:ascii="Arial" w:eastAsia="Calibri" w:hAnsi="Arial"/>
          <w:color w:val="000000"/>
          <w:sz w:val="22"/>
          <w:szCs w:val="22"/>
          <w:lang w:val="ca-ES"/>
        </w:rPr>
        <w:tab/>
        <w:t>Confidencialitat de la informació.</w:t>
      </w:r>
      <w:r w:rsidRPr="005B5A48">
        <w:rPr>
          <w:rFonts w:ascii="Arial" w:eastAsia="Calibri" w:hAnsi="Arial"/>
          <w:color w:val="000000"/>
          <w:sz w:val="22"/>
          <w:szCs w:val="22"/>
          <w:lang w:val="ca-ES"/>
        </w:rPr>
        <w:tab/>
      </w:r>
    </w:p>
    <w:p w14:paraId="2FA1403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829CE8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2.13)</w:t>
      </w:r>
      <w:r w:rsidRPr="005B5A48">
        <w:rPr>
          <w:rFonts w:ascii="Arial" w:eastAsia="Calibri" w:hAnsi="Arial"/>
          <w:color w:val="000000"/>
          <w:sz w:val="22"/>
          <w:szCs w:val="22"/>
          <w:lang w:val="ca-ES"/>
        </w:rPr>
        <w:tab/>
        <w:t>Règim jurídic de la contractació.</w:t>
      </w:r>
      <w:r w:rsidRPr="005B5A48">
        <w:rPr>
          <w:rFonts w:ascii="Arial" w:eastAsia="Calibri" w:hAnsi="Arial"/>
          <w:color w:val="000000"/>
          <w:sz w:val="22"/>
          <w:szCs w:val="22"/>
          <w:lang w:val="ca-ES"/>
        </w:rPr>
        <w:tab/>
      </w:r>
    </w:p>
    <w:p w14:paraId="56E4181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077DBD9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2.14)</w:t>
      </w:r>
      <w:r w:rsidRPr="005B5A48">
        <w:rPr>
          <w:rFonts w:ascii="Arial" w:eastAsia="Calibri" w:hAnsi="Arial"/>
          <w:color w:val="000000"/>
          <w:sz w:val="22"/>
          <w:szCs w:val="22"/>
          <w:lang w:val="ca-ES"/>
        </w:rPr>
        <w:tab/>
        <w:t>Notificacions i ús de mitjans electrònics.</w:t>
      </w:r>
      <w:r w:rsidRPr="005B5A48">
        <w:rPr>
          <w:rFonts w:ascii="Arial" w:eastAsia="Calibri" w:hAnsi="Arial"/>
          <w:color w:val="000000"/>
          <w:sz w:val="22"/>
          <w:szCs w:val="22"/>
          <w:lang w:val="ca-ES"/>
        </w:rPr>
        <w:tab/>
      </w:r>
    </w:p>
    <w:p w14:paraId="7DDE43E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2DF17A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2.15)</w:t>
      </w:r>
      <w:r w:rsidRPr="005B5A48">
        <w:rPr>
          <w:rFonts w:ascii="Arial" w:eastAsia="Calibri" w:hAnsi="Arial"/>
          <w:color w:val="000000"/>
          <w:sz w:val="22"/>
          <w:szCs w:val="22"/>
          <w:lang w:val="ca-ES"/>
        </w:rPr>
        <w:tab/>
        <w:t>Obligacions laborals, socials, fiscals, de protecció de dades personals, i mediambientals del contractista.</w:t>
      </w:r>
      <w:r w:rsidRPr="005B5A48">
        <w:rPr>
          <w:rFonts w:ascii="Arial" w:eastAsia="Calibri" w:hAnsi="Arial"/>
          <w:color w:val="000000"/>
          <w:sz w:val="22"/>
          <w:szCs w:val="22"/>
          <w:lang w:val="ca-ES"/>
        </w:rPr>
        <w:tab/>
      </w:r>
    </w:p>
    <w:p w14:paraId="539A764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7B9104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2.16)</w:t>
      </w:r>
      <w:r w:rsidRPr="005B5A48">
        <w:rPr>
          <w:rFonts w:ascii="Arial" w:eastAsia="Calibri" w:hAnsi="Arial"/>
          <w:color w:val="000000"/>
          <w:sz w:val="22"/>
          <w:szCs w:val="22"/>
          <w:lang w:val="ca-ES"/>
        </w:rPr>
        <w:tab/>
        <w:t>Assegurances.</w:t>
      </w:r>
      <w:r w:rsidRPr="005B5A48">
        <w:rPr>
          <w:rFonts w:ascii="Arial" w:eastAsia="Calibri" w:hAnsi="Arial"/>
          <w:color w:val="000000"/>
          <w:sz w:val="22"/>
          <w:szCs w:val="22"/>
          <w:lang w:val="ca-ES"/>
        </w:rPr>
        <w:tab/>
      </w:r>
    </w:p>
    <w:p w14:paraId="41B28FB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7A405F7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2.17)</w:t>
      </w:r>
      <w:r w:rsidRPr="005B5A48">
        <w:rPr>
          <w:rFonts w:ascii="Arial" w:eastAsia="Calibri" w:hAnsi="Arial"/>
          <w:color w:val="000000"/>
          <w:sz w:val="22"/>
          <w:szCs w:val="22"/>
          <w:lang w:val="ca-ES"/>
        </w:rPr>
        <w:tab/>
        <w:t>Lloc de prestació/realització/lliurament objecte del contracte.</w:t>
      </w:r>
      <w:r w:rsidRPr="005B5A48">
        <w:rPr>
          <w:rFonts w:ascii="Arial" w:eastAsia="Calibri" w:hAnsi="Arial"/>
          <w:color w:val="000000"/>
          <w:sz w:val="22"/>
          <w:szCs w:val="22"/>
          <w:lang w:val="ca-ES"/>
        </w:rPr>
        <w:tab/>
      </w:r>
    </w:p>
    <w:p w14:paraId="129AEEA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CC1A2A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2.18)</w:t>
      </w:r>
      <w:r w:rsidRPr="005B5A48">
        <w:rPr>
          <w:rFonts w:ascii="Arial" w:eastAsia="Calibri" w:hAnsi="Arial"/>
          <w:color w:val="000000"/>
          <w:sz w:val="22"/>
          <w:szCs w:val="22"/>
          <w:lang w:val="ca-ES"/>
        </w:rPr>
        <w:tab/>
        <w:t>Responsable del contracte.</w:t>
      </w:r>
      <w:r w:rsidRPr="005B5A48">
        <w:rPr>
          <w:rFonts w:ascii="Arial" w:eastAsia="Calibri" w:hAnsi="Arial"/>
          <w:color w:val="000000"/>
          <w:sz w:val="22"/>
          <w:szCs w:val="22"/>
          <w:lang w:val="ca-ES"/>
        </w:rPr>
        <w:tab/>
      </w:r>
    </w:p>
    <w:p w14:paraId="0B8AC14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525B95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2.19)</w:t>
      </w:r>
      <w:r w:rsidRPr="005B5A48">
        <w:rPr>
          <w:rFonts w:ascii="Arial" w:eastAsia="Calibri" w:hAnsi="Arial"/>
          <w:color w:val="000000"/>
          <w:sz w:val="22"/>
          <w:szCs w:val="22"/>
          <w:lang w:val="ca-ES"/>
        </w:rPr>
        <w:tab/>
        <w:t>Protecció de dades de caràcter personal.</w:t>
      </w:r>
      <w:r w:rsidRPr="005B5A48">
        <w:rPr>
          <w:rFonts w:ascii="Arial" w:eastAsia="Calibri" w:hAnsi="Arial"/>
          <w:color w:val="000000"/>
          <w:sz w:val="22"/>
          <w:szCs w:val="22"/>
          <w:lang w:val="ca-ES"/>
        </w:rPr>
        <w:tab/>
      </w:r>
    </w:p>
    <w:p w14:paraId="7344957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928273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047643F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481A881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3) </w:t>
      </w:r>
      <w:r w:rsidRPr="005B5A48">
        <w:rPr>
          <w:rFonts w:ascii="Arial" w:eastAsia="Calibri" w:hAnsi="Arial"/>
          <w:color w:val="000000"/>
          <w:sz w:val="22"/>
          <w:szCs w:val="22"/>
          <w:lang w:val="ca-ES"/>
        </w:rPr>
        <w:tab/>
        <w:t>DADES ESPECÍFIQUES DELS CONTRACTES D’OBRES</w:t>
      </w:r>
      <w:r w:rsidRPr="005B5A48">
        <w:rPr>
          <w:rFonts w:ascii="Arial" w:eastAsia="Calibri" w:hAnsi="Arial"/>
          <w:color w:val="000000"/>
          <w:sz w:val="22"/>
          <w:szCs w:val="22"/>
          <w:lang w:val="ca-ES"/>
        </w:rPr>
        <w:tab/>
      </w:r>
    </w:p>
    <w:p w14:paraId="3CE4A68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2AD4D19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3.1)</w:t>
      </w:r>
      <w:r w:rsidRPr="005B5A48">
        <w:rPr>
          <w:rFonts w:ascii="Arial" w:eastAsia="Calibri" w:hAnsi="Arial"/>
          <w:color w:val="000000"/>
          <w:sz w:val="22"/>
          <w:szCs w:val="22"/>
          <w:lang w:val="ca-ES"/>
        </w:rPr>
        <w:tab/>
        <w:t>Delegació i personal d’obra del contractista.</w:t>
      </w:r>
      <w:r w:rsidRPr="005B5A48">
        <w:rPr>
          <w:rFonts w:ascii="Arial" w:eastAsia="Calibri" w:hAnsi="Arial"/>
          <w:color w:val="000000"/>
          <w:sz w:val="22"/>
          <w:szCs w:val="22"/>
          <w:lang w:val="ca-ES"/>
        </w:rPr>
        <w:tab/>
      </w:r>
    </w:p>
    <w:p w14:paraId="4179A48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72AA005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3.2)</w:t>
      </w:r>
      <w:r w:rsidRPr="005B5A48">
        <w:rPr>
          <w:rFonts w:ascii="Arial" w:eastAsia="Calibri" w:hAnsi="Arial"/>
          <w:color w:val="000000"/>
          <w:sz w:val="22"/>
          <w:szCs w:val="22"/>
          <w:lang w:val="ca-ES"/>
        </w:rPr>
        <w:tab/>
        <w:t>Despeses conseqüència d’assaigs i anàlisi de materials i unitats d’obra.</w:t>
      </w:r>
      <w:r w:rsidRPr="005B5A48">
        <w:rPr>
          <w:rFonts w:ascii="Arial" w:eastAsia="Calibri" w:hAnsi="Arial"/>
          <w:color w:val="000000"/>
          <w:sz w:val="22"/>
          <w:szCs w:val="22"/>
          <w:lang w:val="ca-ES"/>
        </w:rPr>
        <w:tab/>
      </w:r>
    </w:p>
    <w:p w14:paraId="7EDB40D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3C53B6C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3.3)</w:t>
      </w:r>
      <w:r w:rsidRPr="005B5A48">
        <w:rPr>
          <w:rFonts w:ascii="Arial" w:eastAsia="Calibri" w:hAnsi="Arial"/>
          <w:color w:val="000000"/>
          <w:sz w:val="22"/>
          <w:szCs w:val="22"/>
          <w:lang w:val="ca-ES"/>
        </w:rPr>
        <w:tab/>
        <w:t>Pla de seguretat i salut.</w:t>
      </w:r>
      <w:r w:rsidRPr="005B5A48">
        <w:rPr>
          <w:rFonts w:ascii="Arial" w:eastAsia="Calibri" w:hAnsi="Arial"/>
          <w:color w:val="000000"/>
          <w:sz w:val="22"/>
          <w:szCs w:val="22"/>
          <w:lang w:val="ca-ES"/>
        </w:rPr>
        <w:tab/>
      </w:r>
    </w:p>
    <w:p w14:paraId="7298949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2892E9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3.4)</w:t>
      </w:r>
      <w:r w:rsidRPr="005B5A48">
        <w:rPr>
          <w:rFonts w:ascii="Arial" w:eastAsia="Calibri" w:hAnsi="Arial"/>
          <w:color w:val="000000"/>
          <w:sz w:val="22"/>
          <w:szCs w:val="22"/>
          <w:lang w:val="ca-ES"/>
        </w:rPr>
        <w:tab/>
        <w:t>Acta de comprovació de replanteig i d’inici de les obres.</w:t>
      </w:r>
      <w:r w:rsidRPr="005B5A48">
        <w:rPr>
          <w:rFonts w:ascii="Arial" w:eastAsia="Calibri" w:hAnsi="Arial"/>
          <w:color w:val="000000"/>
          <w:sz w:val="22"/>
          <w:szCs w:val="22"/>
          <w:lang w:val="ca-ES"/>
        </w:rPr>
        <w:tab/>
      </w:r>
    </w:p>
    <w:p w14:paraId="43CD002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2A8B422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3.5)</w:t>
      </w:r>
      <w:r w:rsidRPr="005B5A48">
        <w:rPr>
          <w:rFonts w:ascii="Arial" w:eastAsia="Calibri" w:hAnsi="Arial"/>
          <w:color w:val="000000"/>
          <w:sz w:val="22"/>
          <w:szCs w:val="22"/>
          <w:lang w:val="ca-ES"/>
        </w:rPr>
        <w:tab/>
        <w:t>Legalització de les instal•lacions.</w:t>
      </w:r>
      <w:r w:rsidRPr="005B5A48">
        <w:rPr>
          <w:rFonts w:ascii="Arial" w:eastAsia="Calibri" w:hAnsi="Arial"/>
          <w:color w:val="000000"/>
          <w:sz w:val="22"/>
          <w:szCs w:val="22"/>
          <w:lang w:val="ca-ES"/>
        </w:rPr>
        <w:tab/>
      </w:r>
    </w:p>
    <w:p w14:paraId="3B75297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8C53BB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3.6)</w:t>
      </w:r>
      <w:r w:rsidRPr="005B5A48">
        <w:rPr>
          <w:rFonts w:ascii="Arial" w:eastAsia="Calibri" w:hAnsi="Arial"/>
          <w:color w:val="000000"/>
          <w:sz w:val="22"/>
          <w:szCs w:val="22"/>
          <w:lang w:val="ca-ES"/>
        </w:rPr>
        <w:tab/>
        <w:t>Permisos i llicències.</w:t>
      </w:r>
      <w:r w:rsidRPr="005B5A48">
        <w:rPr>
          <w:rFonts w:ascii="Arial" w:eastAsia="Calibri" w:hAnsi="Arial"/>
          <w:color w:val="000000"/>
          <w:sz w:val="22"/>
          <w:szCs w:val="22"/>
          <w:lang w:val="ca-ES"/>
        </w:rPr>
        <w:tab/>
      </w:r>
    </w:p>
    <w:p w14:paraId="618F86E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A37666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3.7)</w:t>
      </w:r>
      <w:r w:rsidRPr="005B5A48">
        <w:rPr>
          <w:rFonts w:ascii="Arial" w:eastAsia="Calibri" w:hAnsi="Arial"/>
          <w:color w:val="000000"/>
          <w:sz w:val="22"/>
          <w:szCs w:val="22"/>
          <w:lang w:val="ca-ES"/>
        </w:rPr>
        <w:tab/>
        <w:t>Gestió dels residus.</w:t>
      </w:r>
      <w:r w:rsidRPr="005B5A48">
        <w:rPr>
          <w:rFonts w:ascii="Arial" w:eastAsia="Calibri" w:hAnsi="Arial"/>
          <w:color w:val="000000"/>
          <w:sz w:val="22"/>
          <w:szCs w:val="22"/>
          <w:lang w:val="ca-ES"/>
        </w:rPr>
        <w:tab/>
      </w:r>
    </w:p>
    <w:p w14:paraId="1A61058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71E63D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3.8)</w:t>
      </w:r>
      <w:r w:rsidRPr="005B5A48">
        <w:rPr>
          <w:rFonts w:ascii="Arial" w:eastAsia="Calibri" w:hAnsi="Arial"/>
          <w:color w:val="000000"/>
          <w:sz w:val="22"/>
          <w:szCs w:val="22"/>
          <w:lang w:val="ca-ES"/>
        </w:rPr>
        <w:tab/>
        <w:t>Senyalització de les obres.</w:t>
      </w:r>
      <w:r w:rsidRPr="005B5A48">
        <w:rPr>
          <w:rFonts w:ascii="Arial" w:eastAsia="Calibri" w:hAnsi="Arial"/>
          <w:color w:val="000000"/>
          <w:sz w:val="22"/>
          <w:szCs w:val="22"/>
          <w:lang w:val="ca-ES"/>
        </w:rPr>
        <w:tab/>
      </w:r>
    </w:p>
    <w:p w14:paraId="03E8E76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901378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Annex </w:t>
      </w:r>
      <w:r w:rsidRPr="005B5A48">
        <w:rPr>
          <w:rFonts w:ascii="Arial" w:eastAsia="Calibri" w:hAnsi="Arial"/>
          <w:color w:val="000000"/>
          <w:sz w:val="22"/>
          <w:szCs w:val="22"/>
          <w:lang w:val="ca-ES"/>
        </w:rPr>
        <w:tab/>
        <w:t>Model de declaració responsable procediment obert simplificat.</w:t>
      </w:r>
      <w:r w:rsidRPr="005B5A48">
        <w:rPr>
          <w:rFonts w:ascii="Arial" w:eastAsia="Calibri" w:hAnsi="Arial"/>
          <w:color w:val="000000"/>
          <w:sz w:val="22"/>
          <w:szCs w:val="22"/>
          <w:lang w:val="ca-ES"/>
        </w:rPr>
        <w:tab/>
      </w:r>
    </w:p>
    <w:p w14:paraId="5EBBEDD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AA11D7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1F514F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231DEF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 DADES RELATIVES A LA FASE DE LICITACIÓ I D’ADJUDICACIÓ</w:t>
      </w:r>
    </w:p>
    <w:p w14:paraId="7E4342A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561F9C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 Definició de l'objecte del contracte </w:t>
      </w:r>
    </w:p>
    <w:p w14:paraId="4AB84F2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BC0D7B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És objecte del present plec la contractació les obres de la millora de diversos camins municipals, tots ells situats al terme municipal de Sobremunt.</w:t>
      </w:r>
    </w:p>
    <w:p w14:paraId="501F834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3FD37A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44CE63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Codi CPV que correspon és ............................</w:t>
      </w:r>
      <w:r w:rsidRPr="005B5A48">
        <w:rPr>
          <w:rFonts w:ascii="Arial" w:eastAsia="Calibri" w:hAnsi="Arial"/>
          <w:color w:val="000000"/>
          <w:sz w:val="22"/>
          <w:szCs w:val="22"/>
          <w:lang w:val="es-ES"/>
        </w:rPr>
        <w:t xml:space="preserve"> </w:t>
      </w:r>
      <w:r w:rsidRPr="005B5A48">
        <w:rPr>
          <w:rFonts w:ascii="Arial" w:eastAsia="Calibri" w:hAnsi="Arial" w:cs="Arial"/>
          <w:color w:val="4D5156"/>
          <w:kern w:val="2"/>
          <w:sz w:val="21"/>
          <w:szCs w:val="21"/>
          <w:shd w:val="clear" w:color="auto" w:fill="FFFFFF"/>
          <w:lang w:val="ca-ES"/>
        </w:rPr>
        <w:t>45233160-8</w:t>
      </w:r>
    </w:p>
    <w:p w14:paraId="1528E96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D8F064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2F1E22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1.2) Necessitat i idoneïtat del contracte</w:t>
      </w:r>
    </w:p>
    <w:p w14:paraId="247D1F9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F3203F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Les necessitats administratives a satisfer, la idoneïtat de l’objecte del contracte, la justificació del procediment, la divisió/ no divisió en lots, dels criteris d’adjudicació i la resta de requeriments recollits a la Llei 9/2017, de 8 de novembre, de Contractes del Sector Públic (en endavant, LCS P) estan acreditats a l’expedient.</w:t>
      </w:r>
    </w:p>
    <w:p w14:paraId="6CCF6E0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CBCE51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5ACDE5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1.3) Pressupost base de licitació </w:t>
      </w:r>
    </w:p>
    <w:p w14:paraId="73DACB1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BADBAC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Pressupost màxim:</w:t>
      </w:r>
    </w:p>
    <w:p w14:paraId="42E3F9C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EF12C3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pressupost base de licitació de la contractació es fixa en la quantitat de </w:t>
      </w:r>
      <w:r w:rsidRPr="005B5A48">
        <w:rPr>
          <w:rFonts w:ascii="Helvetica-Bold" w:eastAsia="Calibri" w:hAnsi="Helvetica-Bold" w:cs="Helvetica-Bold"/>
          <w:sz w:val="22"/>
          <w:szCs w:val="22"/>
          <w:lang w:val="es-ES"/>
        </w:rPr>
        <w:t>156.227,51</w:t>
      </w:r>
      <w:r w:rsidRPr="005B5A48">
        <w:rPr>
          <w:rFonts w:ascii="Arial" w:eastAsia="Calibri" w:hAnsi="Arial"/>
          <w:color w:val="000000"/>
          <w:sz w:val="22"/>
          <w:szCs w:val="22"/>
          <w:lang w:val="ca-ES"/>
        </w:rPr>
        <w:t xml:space="preserve"> euros (IVA inclòs). </w:t>
      </w:r>
    </w:p>
    <w:p w14:paraId="45392DC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D9E7DF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L’IVA que correspon aplicar és del 21% i ascendeix a la quantitat de 27.113,87€.</w:t>
      </w:r>
    </w:p>
    <w:p w14:paraId="04544A6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0B7E03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Pressupost IVA exclòs: 129.113,65€.</w:t>
      </w:r>
    </w:p>
    <w:p w14:paraId="19213C5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p>
    <w:p w14:paraId="2B142BA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Els licitadors hauran d’igualar o disminuir en la seva oferta el pressupost base de licitació, indicant l’IVA a aplicar mitjançant partida independent. </w:t>
      </w:r>
    </w:p>
    <w:p w14:paraId="3FDB3D9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8D5E1B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pressupost comprèn la totalitat del contracte. El preu consignat és indiscutible, no admetent-se cap prova d'insuficiència i porta implícits tots aquells conceptes previstos a l’art. 100 i concordants de la LCSP. </w:t>
      </w:r>
    </w:p>
    <w:p w14:paraId="2040A42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AE696B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B30611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1.4) Existència de crèdit</w:t>
      </w:r>
    </w:p>
    <w:p w14:paraId="7A0A7AC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F1473E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La despesa derivada d’aquesta </w:t>
      </w:r>
      <w:r w:rsidRPr="005B5A48">
        <w:rPr>
          <w:rFonts w:ascii="Arial" w:eastAsia="Calibri" w:hAnsi="Arial" w:cs="Arial"/>
          <w:color w:val="000000"/>
          <w:sz w:val="20"/>
          <w:szCs w:val="20"/>
          <w:lang w:val="ca-ES"/>
        </w:rPr>
        <w:t xml:space="preserve">contractació de </w:t>
      </w:r>
      <w:r w:rsidRPr="005B5A48">
        <w:rPr>
          <w:rFonts w:ascii="Arial" w:eastAsia="Calibri" w:hAnsi="Arial" w:cs="Arial"/>
          <w:sz w:val="20"/>
          <w:szCs w:val="20"/>
          <w:lang w:val="es-ES"/>
        </w:rPr>
        <w:t>156.227,51</w:t>
      </w:r>
      <w:r w:rsidRPr="005B5A48">
        <w:rPr>
          <w:rFonts w:ascii="Arial" w:eastAsia="Calibri" w:hAnsi="Arial" w:cs="Arial"/>
          <w:color w:val="000000"/>
          <w:sz w:val="20"/>
          <w:szCs w:val="20"/>
          <w:lang w:val="ca-ES"/>
        </w:rPr>
        <w:t xml:space="preserve"> €, IVA inclòs, es farà efectiva amb càrrec a l’aplicació pressupostària </w:t>
      </w:r>
      <w:r w:rsidRPr="005B5A48">
        <w:rPr>
          <w:rFonts w:ascii="Arial" w:eastAsia="Calibri" w:hAnsi="Arial" w:cs="Arial"/>
          <w:sz w:val="20"/>
          <w:szCs w:val="20"/>
          <w:lang w:val="ca-ES"/>
        </w:rPr>
        <w:t>454,619,00</w:t>
      </w:r>
      <w:r w:rsidRPr="005B5A48">
        <w:rPr>
          <w:rFonts w:ascii="Arial" w:eastAsia="Times New Roman" w:hAnsi="Arial" w:cs="Arial"/>
          <w:sz w:val="20"/>
          <w:szCs w:val="20"/>
          <w:lang w:val="ca-ES" w:eastAsia="ca-ES"/>
        </w:rPr>
        <w:t xml:space="preserve"> i</w:t>
      </w:r>
      <w:r w:rsidRPr="005B5A48">
        <w:rPr>
          <w:rFonts w:ascii="Arial" w:eastAsia="Times New Roman" w:hAnsi="Arial" w:cs="Arial"/>
          <w:sz w:val="20"/>
          <w:szCs w:val="20"/>
          <w:lang w:val="es-ES" w:eastAsia="ca-ES"/>
        </w:rPr>
        <w:t xml:space="preserve"> 454,619,01 </w:t>
      </w:r>
      <w:r w:rsidRPr="005B5A48">
        <w:rPr>
          <w:rFonts w:ascii="Arial" w:eastAsia="Calibri" w:hAnsi="Arial" w:cs="Arial"/>
          <w:color w:val="000000"/>
          <w:sz w:val="20"/>
          <w:szCs w:val="20"/>
          <w:lang w:val="ca-ES"/>
        </w:rPr>
        <w:t>del vigent pressupost.</w:t>
      </w:r>
    </w:p>
    <w:p w14:paraId="4EAEBEC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0D9C71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DB86FD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1.5) Durada del contracte i possibles pròrrogues </w:t>
      </w:r>
    </w:p>
    <w:p w14:paraId="07A654F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315FF0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contracte tindrà una durada de 2 mesos a comptar des de la formalització del contracte. </w:t>
      </w:r>
    </w:p>
    <w:p w14:paraId="4DE5F9C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AAC044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42D38D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1.6) Valor estimat  </w:t>
      </w:r>
    </w:p>
    <w:p w14:paraId="55E96AA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ADD33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valor estimat del contracte, als efectes d’allò que disposen l’article 101 i concordants de la LCSP, és de 129.113,65€ IVA exclòs. </w:t>
      </w:r>
    </w:p>
    <w:p w14:paraId="058C246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C5CFAA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608A8D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1.7) Tramitació de l’expedient i procediment d’adjudicació</w:t>
      </w:r>
    </w:p>
    <w:p w14:paraId="554227B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5FB12C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La contractació, que es tramitarà de forma ordinària, no està subjecta a regulació harmonitzada i no és susceptible de recurs especial en matèria de contractació, es durà a terme mitjançant procediment obert simplificat i adjudicació amb més d’un criteri d’adjudicació, en virtut d’allò que estableixen els articles 145, 146, 159 i concordants de la LCSP.</w:t>
      </w:r>
    </w:p>
    <w:p w14:paraId="6C0CB1C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E0C72A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E96A72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1.8) Perfil de contractant i mesa de contractació</w:t>
      </w:r>
    </w:p>
    <w:p w14:paraId="7497C8D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E004D7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Per a consultar els plecs i resta de documents relacionats amb la present contractació, així com la composició de la Mesa de Contractació, en el seu cas, s’ha d’accedir al Perfil de contractant a través de l’adreça següent: </w:t>
      </w:r>
    </w:p>
    <w:p w14:paraId="6CA805E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4F8242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https://contractaciopublica.cat/ca/perfils-contractant/detall/3370306?categoria=0</w:t>
      </w:r>
    </w:p>
    <w:p w14:paraId="3E8F918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4CFE6EE" w14:textId="77777777" w:rsidR="005B5A48" w:rsidRPr="005B5A48" w:rsidRDefault="005B5A48" w:rsidP="005B5A48">
      <w:pPr>
        <w:autoSpaceDE/>
        <w:autoSpaceDN/>
        <w:adjustRightInd/>
        <w:jc w:val="both"/>
        <w:rPr>
          <w:rFonts w:ascii="Arial" w:eastAsia="Calibri" w:hAnsi="Arial" w:cs="Arial"/>
          <w:bCs/>
          <w:sz w:val="22"/>
          <w:szCs w:val="22"/>
          <w:lang w:val="ca-ES"/>
        </w:rPr>
      </w:pPr>
      <w:r w:rsidRPr="005B5A48">
        <w:rPr>
          <w:rFonts w:ascii="Arial" w:eastAsia="Calibri" w:hAnsi="Arial" w:cs="Arial"/>
          <w:bCs/>
          <w:sz w:val="22"/>
          <w:szCs w:val="22"/>
          <w:lang w:val="ca-ES"/>
        </w:rPr>
        <w:t>Composició de la mesa de contractació:</w:t>
      </w:r>
    </w:p>
    <w:p w14:paraId="56DAF2FB" w14:textId="77777777" w:rsidR="005B5A48" w:rsidRPr="005B5A48" w:rsidRDefault="005B5A48" w:rsidP="005B5A48">
      <w:pPr>
        <w:autoSpaceDE/>
        <w:autoSpaceDN/>
        <w:adjustRightInd/>
        <w:jc w:val="both"/>
        <w:rPr>
          <w:rFonts w:ascii="Arial" w:eastAsia="Calibri" w:hAnsi="Arial" w:cs="Arial"/>
          <w:b/>
          <w:sz w:val="22"/>
          <w:szCs w:val="22"/>
          <w:lang w:val="ca-ES"/>
        </w:rPr>
      </w:pPr>
    </w:p>
    <w:p w14:paraId="28A85BB4" w14:textId="77777777" w:rsidR="005B5A48" w:rsidRPr="005B5A48" w:rsidRDefault="005B5A48" w:rsidP="005B5A48">
      <w:pPr>
        <w:widowControl w:val="0"/>
        <w:numPr>
          <w:ilvl w:val="0"/>
          <w:numId w:val="1"/>
        </w:numPr>
        <w:tabs>
          <w:tab w:val="left" w:pos="948"/>
        </w:tabs>
        <w:autoSpaceDE/>
        <w:autoSpaceDN/>
        <w:adjustRightInd/>
        <w:spacing w:before="1" w:after="200" w:line="259" w:lineRule="auto"/>
        <w:jc w:val="both"/>
        <w:rPr>
          <w:rFonts w:ascii="Arial" w:eastAsia="Calibri" w:hAnsi="Arial" w:cs="Arial"/>
          <w:sz w:val="22"/>
          <w:szCs w:val="22"/>
          <w:lang w:val="es-ES"/>
        </w:rPr>
      </w:pPr>
      <w:r w:rsidRPr="005B5A48">
        <w:rPr>
          <w:rFonts w:ascii="Arial" w:eastAsia="Calibri" w:hAnsi="Arial" w:cs="Arial"/>
          <w:sz w:val="22"/>
          <w:szCs w:val="22"/>
          <w:lang w:val="es-ES"/>
        </w:rPr>
        <w:t>President:</w:t>
      </w:r>
    </w:p>
    <w:p w14:paraId="5DD2DE08" w14:textId="77777777" w:rsidR="005B5A48" w:rsidRPr="005B5A48" w:rsidRDefault="005B5A48" w:rsidP="005B5A48">
      <w:pPr>
        <w:widowControl w:val="0"/>
        <w:adjustRightInd/>
        <w:ind w:left="239" w:right="3740" w:firstLine="708"/>
        <w:jc w:val="both"/>
        <w:rPr>
          <w:rFonts w:ascii="Arial" w:eastAsia="Calibri" w:hAnsi="Arial" w:cs="Arial"/>
          <w:sz w:val="22"/>
          <w:szCs w:val="22"/>
          <w:lang w:val="es-ES"/>
        </w:rPr>
      </w:pPr>
      <w:r w:rsidRPr="005B5A48">
        <w:rPr>
          <w:rFonts w:ascii="Arial" w:eastAsia="Calibri" w:hAnsi="Arial" w:cs="Arial"/>
          <w:sz w:val="22"/>
          <w:szCs w:val="22"/>
          <w:lang w:val="es-ES"/>
        </w:rPr>
        <w:lastRenderedPageBreak/>
        <w:t>Titular: L’Alcalde/ssa</w:t>
      </w:r>
    </w:p>
    <w:p w14:paraId="7D9CCA58" w14:textId="77777777" w:rsidR="005B5A48" w:rsidRPr="005B5A48" w:rsidRDefault="005B5A48" w:rsidP="005B5A48">
      <w:pPr>
        <w:widowControl w:val="0"/>
        <w:adjustRightInd/>
        <w:ind w:left="239" w:right="3740" w:firstLine="708"/>
        <w:jc w:val="both"/>
        <w:rPr>
          <w:rFonts w:ascii="Arial" w:eastAsia="Calibri" w:hAnsi="Arial" w:cs="Arial"/>
          <w:sz w:val="22"/>
          <w:szCs w:val="22"/>
          <w:lang w:val="es-ES"/>
        </w:rPr>
      </w:pPr>
      <w:r w:rsidRPr="005B5A48">
        <w:rPr>
          <w:rFonts w:ascii="Arial" w:eastAsia="Calibri" w:hAnsi="Arial" w:cs="Arial"/>
          <w:sz w:val="22"/>
          <w:szCs w:val="22"/>
          <w:lang w:val="es-ES"/>
        </w:rPr>
        <w:t>1er Tinent</w:t>
      </w:r>
      <w:r w:rsidRPr="005B5A48">
        <w:rPr>
          <w:rFonts w:ascii="Arial" w:eastAsia="Calibri" w:hAnsi="Arial" w:cs="Arial"/>
          <w:spacing w:val="-1"/>
          <w:sz w:val="22"/>
          <w:szCs w:val="22"/>
          <w:lang w:val="es-ES"/>
        </w:rPr>
        <w:t xml:space="preserve"> </w:t>
      </w:r>
      <w:r w:rsidRPr="005B5A48">
        <w:rPr>
          <w:rFonts w:ascii="Arial" w:eastAsia="Calibri" w:hAnsi="Arial" w:cs="Arial"/>
          <w:sz w:val="22"/>
          <w:szCs w:val="22"/>
          <w:lang w:val="es-ES"/>
        </w:rPr>
        <w:t>d’Alcalde</w:t>
      </w:r>
    </w:p>
    <w:p w14:paraId="030B9253" w14:textId="77777777" w:rsidR="005B5A48" w:rsidRPr="005B5A48" w:rsidRDefault="005B5A48" w:rsidP="005B5A48">
      <w:pPr>
        <w:widowControl w:val="0"/>
        <w:adjustRightInd/>
        <w:spacing w:before="11"/>
        <w:jc w:val="both"/>
        <w:rPr>
          <w:rFonts w:ascii="Arial" w:eastAsia="Calibri" w:hAnsi="Arial" w:cs="Arial"/>
          <w:sz w:val="22"/>
          <w:szCs w:val="22"/>
          <w:lang w:val="es-ES"/>
        </w:rPr>
      </w:pPr>
    </w:p>
    <w:p w14:paraId="6DF93378" w14:textId="77777777" w:rsidR="005B5A48" w:rsidRPr="005B5A48" w:rsidRDefault="005B5A48" w:rsidP="005B5A48">
      <w:pPr>
        <w:widowControl w:val="0"/>
        <w:numPr>
          <w:ilvl w:val="0"/>
          <w:numId w:val="1"/>
        </w:numPr>
        <w:tabs>
          <w:tab w:val="left" w:pos="948"/>
        </w:tabs>
        <w:autoSpaceDE/>
        <w:autoSpaceDN/>
        <w:adjustRightInd/>
        <w:spacing w:after="200" w:line="259" w:lineRule="auto"/>
        <w:jc w:val="both"/>
        <w:rPr>
          <w:rFonts w:ascii="Arial" w:eastAsia="Calibri" w:hAnsi="Arial" w:cs="Arial"/>
          <w:sz w:val="22"/>
          <w:szCs w:val="22"/>
          <w:lang w:val="es-ES"/>
        </w:rPr>
      </w:pPr>
      <w:r w:rsidRPr="005B5A48">
        <w:rPr>
          <w:rFonts w:ascii="Arial" w:eastAsia="Calibri" w:hAnsi="Arial" w:cs="Arial"/>
          <w:sz w:val="22"/>
          <w:szCs w:val="22"/>
          <w:lang w:val="es-ES"/>
        </w:rPr>
        <w:t>Vocal:</w:t>
      </w:r>
    </w:p>
    <w:p w14:paraId="0C388114" w14:textId="77777777" w:rsidR="005B5A48" w:rsidRPr="005B5A48" w:rsidRDefault="005B5A48" w:rsidP="005B5A48">
      <w:pPr>
        <w:widowControl w:val="0"/>
        <w:adjustRightInd/>
        <w:ind w:left="947" w:right="2719"/>
        <w:jc w:val="both"/>
        <w:rPr>
          <w:rFonts w:ascii="Arial" w:eastAsia="Calibri" w:hAnsi="Arial" w:cs="Arial"/>
          <w:spacing w:val="1"/>
          <w:sz w:val="22"/>
          <w:szCs w:val="22"/>
          <w:lang w:val="es-ES"/>
        </w:rPr>
      </w:pPr>
      <w:r w:rsidRPr="005B5A48">
        <w:rPr>
          <w:rFonts w:ascii="Arial" w:eastAsia="Calibri" w:hAnsi="Arial" w:cs="Arial"/>
          <w:sz w:val="22"/>
          <w:szCs w:val="22"/>
          <w:lang w:val="es-ES"/>
        </w:rPr>
        <w:t>Titular: La Secretària Interventora de la Corporació</w:t>
      </w:r>
      <w:r w:rsidRPr="005B5A48">
        <w:rPr>
          <w:rFonts w:ascii="Arial" w:eastAsia="Calibri" w:hAnsi="Arial" w:cs="Arial"/>
          <w:spacing w:val="1"/>
          <w:sz w:val="22"/>
          <w:szCs w:val="22"/>
          <w:lang w:val="es-ES"/>
        </w:rPr>
        <w:t xml:space="preserve"> </w:t>
      </w:r>
    </w:p>
    <w:p w14:paraId="6EBC97D5" w14:textId="77777777" w:rsidR="005B5A48" w:rsidRPr="005B5A48" w:rsidRDefault="005B5A48" w:rsidP="005B5A48">
      <w:pPr>
        <w:widowControl w:val="0"/>
        <w:adjustRightInd/>
        <w:ind w:left="947" w:right="2719"/>
        <w:jc w:val="both"/>
        <w:rPr>
          <w:rFonts w:ascii="Arial" w:eastAsia="Calibri" w:hAnsi="Arial" w:cs="Arial"/>
          <w:sz w:val="22"/>
          <w:szCs w:val="22"/>
          <w:lang w:val="es-ES"/>
        </w:rPr>
      </w:pPr>
    </w:p>
    <w:p w14:paraId="5419AFBA" w14:textId="77777777" w:rsidR="005B5A48" w:rsidRPr="005B5A48" w:rsidRDefault="005B5A48" w:rsidP="005B5A48">
      <w:pPr>
        <w:widowControl w:val="0"/>
        <w:adjustRightInd/>
        <w:ind w:left="947" w:right="2719"/>
        <w:jc w:val="both"/>
        <w:rPr>
          <w:rFonts w:ascii="Arial" w:eastAsia="Calibri" w:hAnsi="Arial" w:cs="Arial"/>
          <w:sz w:val="22"/>
          <w:szCs w:val="22"/>
          <w:lang w:val="es-ES"/>
        </w:rPr>
      </w:pPr>
      <w:r w:rsidRPr="005B5A48">
        <w:rPr>
          <w:rFonts w:ascii="Arial" w:eastAsia="Calibri" w:hAnsi="Arial" w:cs="Arial"/>
          <w:sz w:val="22"/>
          <w:szCs w:val="22"/>
          <w:lang w:val="es-ES"/>
        </w:rPr>
        <w:t>Titular: Carme Quintanilla Valero</w:t>
      </w:r>
    </w:p>
    <w:p w14:paraId="78775B64" w14:textId="77777777" w:rsidR="005B5A48" w:rsidRPr="005B5A48" w:rsidRDefault="005B5A48" w:rsidP="005B5A48">
      <w:pPr>
        <w:widowControl w:val="0"/>
        <w:adjustRightInd/>
        <w:ind w:left="947" w:right="2719"/>
        <w:jc w:val="both"/>
        <w:rPr>
          <w:rFonts w:ascii="Arial" w:eastAsia="Calibri" w:hAnsi="Arial" w:cs="Arial"/>
          <w:sz w:val="22"/>
          <w:szCs w:val="22"/>
          <w:lang w:val="es-ES"/>
        </w:rPr>
      </w:pPr>
    </w:p>
    <w:p w14:paraId="15FA0FF4" w14:textId="77777777" w:rsidR="005B5A48" w:rsidRPr="005B5A48" w:rsidRDefault="005B5A48" w:rsidP="005B5A48">
      <w:pPr>
        <w:widowControl w:val="0"/>
        <w:adjustRightInd/>
        <w:ind w:left="947" w:right="2719"/>
        <w:jc w:val="both"/>
        <w:rPr>
          <w:rFonts w:ascii="Arial" w:eastAsia="Calibri" w:hAnsi="Arial" w:cs="Arial"/>
          <w:sz w:val="22"/>
          <w:szCs w:val="22"/>
          <w:lang w:val="es-ES"/>
        </w:rPr>
      </w:pPr>
      <w:r w:rsidRPr="005B5A48">
        <w:rPr>
          <w:rFonts w:ascii="Arial" w:eastAsia="Calibri" w:hAnsi="Arial" w:cs="Arial"/>
          <w:sz w:val="22"/>
          <w:szCs w:val="22"/>
          <w:lang w:val="es-ES"/>
        </w:rPr>
        <w:t>Titular: Miquel Sallés Oliva</w:t>
      </w:r>
    </w:p>
    <w:p w14:paraId="3542CA99" w14:textId="77777777" w:rsidR="005B5A48" w:rsidRPr="005B5A48" w:rsidRDefault="005B5A48" w:rsidP="005B5A48">
      <w:pPr>
        <w:widowControl w:val="0"/>
        <w:adjustRightInd/>
        <w:ind w:left="947" w:right="2719"/>
        <w:jc w:val="both"/>
        <w:rPr>
          <w:rFonts w:ascii="Arial" w:eastAsia="Calibri" w:hAnsi="Arial" w:cs="Arial"/>
          <w:sz w:val="22"/>
          <w:szCs w:val="22"/>
          <w:lang w:val="es-ES"/>
        </w:rPr>
      </w:pPr>
    </w:p>
    <w:p w14:paraId="5E6329F2" w14:textId="77777777" w:rsidR="005B5A48" w:rsidRPr="005B5A48" w:rsidRDefault="005B5A48" w:rsidP="005B5A48">
      <w:pPr>
        <w:widowControl w:val="0"/>
        <w:adjustRightInd/>
        <w:ind w:left="947" w:right="2719"/>
        <w:jc w:val="both"/>
        <w:rPr>
          <w:rFonts w:ascii="Arial" w:eastAsia="Calibri" w:hAnsi="Arial" w:cs="Arial"/>
          <w:sz w:val="22"/>
          <w:szCs w:val="22"/>
          <w:lang w:val="es-ES"/>
        </w:rPr>
      </w:pPr>
      <w:r w:rsidRPr="005B5A48">
        <w:rPr>
          <w:rFonts w:ascii="Arial" w:eastAsia="Calibri" w:hAnsi="Arial" w:cs="Arial"/>
          <w:sz w:val="22"/>
          <w:szCs w:val="22"/>
          <w:lang w:val="es-ES"/>
        </w:rPr>
        <w:t>Titular: Laura Alabern Codina</w:t>
      </w:r>
    </w:p>
    <w:p w14:paraId="1D4D0501" w14:textId="77777777" w:rsidR="005B5A48" w:rsidRPr="005B5A48" w:rsidRDefault="005B5A48" w:rsidP="005B5A48">
      <w:pPr>
        <w:widowControl w:val="0"/>
        <w:adjustRightInd/>
        <w:spacing w:before="11"/>
        <w:jc w:val="both"/>
        <w:rPr>
          <w:rFonts w:ascii="Arial" w:eastAsia="Calibri" w:hAnsi="Arial" w:cs="Arial"/>
          <w:sz w:val="22"/>
          <w:szCs w:val="22"/>
          <w:lang w:val="es-ES"/>
        </w:rPr>
      </w:pPr>
    </w:p>
    <w:p w14:paraId="2EC5B3E8" w14:textId="77777777" w:rsidR="005B5A48" w:rsidRPr="005B5A48" w:rsidRDefault="005B5A48" w:rsidP="005B5A48">
      <w:pPr>
        <w:widowControl w:val="0"/>
        <w:numPr>
          <w:ilvl w:val="0"/>
          <w:numId w:val="1"/>
        </w:numPr>
        <w:tabs>
          <w:tab w:val="left" w:pos="948"/>
        </w:tabs>
        <w:autoSpaceDE/>
        <w:autoSpaceDN/>
        <w:adjustRightInd/>
        <w:spacing w:before="1" w:after="200" w:line="259" w:lineRule="auto"/>
        <w:jc w:val="both"/>
        <w:rPr>
          <w:rFonts w:ascii="Arial" w:eastAsia="Calibri" w:hAnsi="Arial" w:cs="Arial"/>
          <w:sz w:val="22"/>
          <w:szCs w:val="22"/>
          <w:lang w:val="es-ES"/>
        </w:rPr>
      </w:pPr>
      <w:r w:rsidRPr="005B5A48">
        <w:rPr>
          <w:rFonts w:ascii="Arial" w:eastAsia="Calibri" w:hAnsi="Arial" w:cs="Arial"/>
          <w:sz w:val="22"/>
          <w:szCs w:val="22"/>
          <w:lang w:val="es-ES"/>
        </w:rPr>
        <w:t>Secretària: Sara Blanque Dolado</w:t>
      </w:r>
    </w:p>
    <w:p w14:paraId="71939C20" w14:textId="77777777" w:rsidR="005B5A48" w:rsidRPr="005B5A48" w:rsidRDefault="005B5A48" w:rsidP="005B5A48">
      <w:pPr>
        <w:autoSpaceDE/>
        <w:autoSpaceDN/>
        <w:adjustRightInd/>
        <w:jc w:val="both"/>
        <w:rPr>
          <w:rFonts w:ascii="Arial" w:eastAsia="Calibri" w:hAnsi="Arial" w:cs="Arial"/>
          <w:color w:val="000000"/>
          <w:sz w:val="22"/>
          <w:szCs w:val="22"/>
          <w:lang w:val="ca-ES"/>
        </w:rPr>
      </w:pPr>
    </w:p>
    <w:p w14:paraId="46D9777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FC8727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1.9) Presentació de proposicions </w:t>
      </w:r>
    </w:p>
    <w:p w14:paraId="67DCD49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DD5758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Les proposicions es presentaran en la forma, termini i lloc indicats a l’anunci de licitació, mitjançant l’eina Sobre Digital, integrada en la Plataforma de Serveis de Contractació Pública de Catalunya, accessible en el perfil de contractant indicat en la clàusula 1.8 del present plec. </w:t>
      </w:r>
    </w:p>
    <w:p w14:paraId="2109DA5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209F47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Tota la informació relativa al Sobre Digital es pot consultar en el document “Instruccions sobre l’ús de mitjans electrònics en els procediments de contractació” publicat en el perfil de contractant.</w:t>
      </w:r>
    </w:p>
    <w:p w14:paraId="22F4C0F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29C8D7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La documentació haurà de presentar-se en qualsevol de les llengües cooficials de Catalunya, signada electrònicament, en un únic sobre, en els termes següents:</w:t>
      </w:r>
    </w:p>
    <w:p w14:paraId="6AECDD9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BFE846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1.9.1.-ÚNICAMENT CRITERIS AVALUABLES DE FORMA AUTOMÀTICA </w:t>
      </w:r>
    </w:p>
    <w:p w14:paraId="0E2A88C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0CE5C4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7B7517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SOBRE ÚNIC DIGITAL</w:t>
      </w:r>
    </w:p>
    <w:p w14:paraId="2EBDCA4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205E38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Contindrà la documentació següent:</w:t>
      </w:r>
    </w:p>
    <w:p w14:paraId="76F694C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CB73F6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Declaració responsable de compliment de les condicions establertes legalment per a contractar amb l’Administració, d’acord amb el model que consta com a l’annex o DEUC.</w:t>
      </w:r>
    </w:p>
    <w:p w14:paraId="4D07746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208AF1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Les condicions establertes legalment per contractar han de complir-se abans de la finalització del termini de presentació de proposicions i subsistir en el moment de la perfecció del contracte, d’acord amb l’article 140.4 LCSP.</w:t>
      </w:r>
    </w:p>
    <w:p w14:paraId="1231D6E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D0D413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 xml:space="preserve">De conformitat amb l’article 140.3 LCSP, els licitadors s’obliguen a aportar, en qualsevol moment abans de la proposta d’adjudicació, tota la documentació exigida quan els hi sigui requerida, sens perjudici d’allò establert a la clàusula 1.18) del present Plec. </w:t>
      </w:r>
    </w:p>
    <w:p w14:paraId="208ACB4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7A4E11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Proposició econòmica, basada en el preu, haurà d’ajustar-se al model següent:</w:t>
      </w:r>
    </w:p>
    <w:p w14:paraId="5B5B428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7154BA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assabentat/da de les condicions exigides per optar a la  contractació relativa a la millora de diversos camins municipals de Sobremunt, es compromet a portar-la a terme amb subjecció al Plec de Clàusules Administratives Particulars, al Plec de Prescripcions Tècniques Particulars i al Projecte d’obres, que accepta íntegrament, per la quantitat de ……….……………….. euros, IVA exclòs. </w:t>
      </w:r>
    </w:p>
    <w:p w14:paraId="670522F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B1BF00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(Data i signatura)."</w:t>
      </w:r>
    </w:p>
    <w:p w14:paraId="09D4AF5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F56575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E60B4A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Documentació tècnica relativa als criteris d’adjudicació avaluables de forma automàtica.</w:t>
      </w:r>
    </w:p>
    <w:p w14:paraId="0EFFA95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11112E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es compromet a augmentar el termini de garantia inicial en ...............................................anys.</w:t>
      </w:r>
    </w:p>
    <w:p w14:paraId="070EF1A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3593CF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184453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(Data i signatura)."</w:t>
      </w:r>
    </w:p>
    <w:p w14:paraId="7A5FB4E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4ABFA0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4A3BEF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8E24DE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1.10) Condicions mínimes i mitjans d’acreditació de la solvència econòmica i financera i professional o tècnica i altres requeriments </w:t>
      </w:r>
    </w:p>
    <w:p w14:paraId="4CD3123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86DF75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licitador haurà de complir les condicions següents:</w:t>
      </w:r>
    </w:p>
    <w:p w14:paraId="0DB74D2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C189F7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Disposar de la solvència següent: </w:t>
      </w:r>
    </w:p>
    <w:p w14:paraId="67ABB76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1A7FCAE" w14:textId="77777777" w:rsidR="005B5A48" w:rsidRPr="005B5A48" w:rsidRDefault="005B5A48" w:rsidP="005B5A48">
      <w:pPr>
        <w:autoSpaceDE/>
        <w:autoSpaceDN/>
        <w:adjustRightInd/>
        <w:spacing w:after="160" w:line="259" w:lineRule="auto"/>
        <w:rPr>
          <w:rFonts w:ascii="Arial" w:eastAsia="Calibri" w:hAnsi="Arial" w:cs="Arial"/>
          <w:color w:val="000000"/>
          <w:sz w:val="22"/>
          <w:szCs w:val="22"/>
          <w:lang w:val="ca-ES"/>
        </w:rPr>
      </w:pPr>
      <w:r w:rsidRPr="005B5A48">
        <w:rPr>
          <w:rFonts w:ascii="Arial" w:eastAsia="Calibri" w:hAnsi="Arial"/>
          <w:color w:val="000000"/>
          <w:sz w:val="22"/>
          <w:szCs w:val="22"/>
          <w:lang w:val="ca-ES"/>
        </w:rPr>
        <w:t>a)</w:t>
      </w:r>
      <w:r w:rsidRPr="005B5A48">
        <w:rPr>
          <w:rFonts w:ascii="Arial" w:eastAsia="Calibri" w:hAnsi="Arial"/>
          <w:color w:val="000000"/>
          <w:sz w:val="22"/>
          <w:szCs w:val="22"/>
          <w:lang w:val="ca-ES"/>
        </w:rPr>
        <w:tab/>
      </w:r>
      <w:r w:rsidRPr="005B5A48">
        <w:rPr>
          <w:rFonts w:ascii="Arial" w:eastAsia="Calibri" w:hAnsi="Arial" w:cs="Arial"/>
          <w:color w:val="000000"/>
          <w:sz w:val="22"/>
          <w:szCs w:val="22"/>
          <w:lang w:val="ca-ES"/>
        </w:rPr>
        <w:t xml:space="preserve">Condicions mínimes i mitjans d’acreditació de la solvència econòmica i financera i professional o tècnica i altres requeriments </w:t>
      </w:r>
    </w:p>
    <w:p w14:paraId="64956844" w14:textId="77777777" w:rsidR="005B5A48" w:rsidRPr="005B5A48" w:rsidRDefault="005B5A48" w:rsidP="005B5A48">
      <w:pPr>
        <w:autoSpaceDE/>
        <w:autoSpaceDN/>
        <w:adjustRightInd/>
        <w:jc w:val="both"/>
        <w:rPr>
          <w:rFonts w:ascii="Arial" w:eastAsia="Calibri" w:hAnsi="Arial" w:cs="Arial"/>
          <w:color w:val="000000"/>
          <w:sz w:val="22"/>
          <w:szCs w:val="22"/>
          <w:lang w:val="ca-ES"/>
        </w:rPr>
      </w:pPr>
    </w:p>
    <w:p w14:paraId="52CDD65D" w14:textId="77777777" w:rsidR="005B5A48" w:rsidRPr="005B5A48" w:rsidRDefault="005B5A48" w:rsidP="005B5A48">
      <w:pPr>
        <w:autoSpaceDE/>
        <w:autoSpaceDN/>
        <w:adjustRightInd/>
        <w:jc w:val="both"/>
        <w:rPr>
          <w:rFonts w:ascii="Arial" w:eastAsia="Calibri" w:hAnsi="Arial" w:cs="Arial"/>
          <w:color w:val="000000"/>
          <w:sz w:val="22"/>
          <w:szCs w:val="22"/>
          <w:lang w:val="ca-ES"/>
        </w:rPr>
      </w:pPr>
      <w:r w:rsidRPr="005B5A48">
        <w:rPr>
          <w:rFonts w:ascii="Arial" w:eastAsia="Calibri" w:hAnsi="Arial" w:cs="Arial"/>
          <w:color w:val="000000"/>
          <w:sz w:val="22"/>
          <w:szCs w:val="22"/>
          <w:lang w:val="ca-ES"/>
        </w:rPr>
        <w:lastRenderedPageBreak/>
        <w:t>El licitador haurà de complir les condicions següents:</w:t>
      </w:r>
    </w:p>
    <w:p w14:paraId="3DA58993" w14:textId="77777777" w:rsidR="005B5A48" w:rsidRPr="005B5A48" w:rsidRDefault="005B5A48" w:rsidP="005B5A48">
      <w:pPr>
        <w:autoSpaceDE/>
        <w:autoSpaceDN/>
        <w:adjustRightInd/>
        <w:jc w:val="both"/>
        <w:rPr>
          <w:rFonts w:ascii="Arial" w:eastAsia="Calibri" w:hAnsi="Arial" w:cs="Arial"/>
          <w:color w:val="000000"/>
          <w:sz w:val="22"/>
          <w:szCs w:val="22"/>
          <w:lang w:val="ca-ES"/>
        </w:rPr>
      </w:pPr>
    </w:p>
    <w:p w14:paraId="129B9370" w14:textId="77777777" w:rsidR="005B5A48" w:rsidRPr="005B5A48" w:rsidRDefault="005B5A48" w:rsidP="005B5A48">
      <w:pPr>
        <w:autoSpaceDE/>
        <w:autoSpaceDN/>
        <w:adjustRightInd/>
        <w:jc w:val="both"/>
        <w:rPr>
          <w:rFonts w:ascii="Arial" w:eastAsia="Calibri" w:hAnsi="Arial" w:cs="Arial"/>
          <w:color w:val="000000"/>
          <w:sz w:val="22"/>
          <w:szCs w:val="22"/>
          <w:lang w:val="ca-ES"/>
        </w:rPr>
      </w:pPr>
      <w:r w:rsidRPr="005B5A48">
        <w:rPr>
          <w:rFonts w:ascii="Arial" w:eastAsia="Calibri" w:hAnsi="Arial" w:cs="Arial"/>
          <w:color w:val="000000"/>
          <w:sz w:val="22"/>
          <w:szCs w:val="22"/>
          <w:lang w:val="ca-ES"/>
        </w:rPr>
        <w:t xml:space="preserve">Disposar de la solvència següent: </w:t>
      </w:r>
    </w:p>
    <w:p w14:paraId="7573EAA7" w14:textId="77777777" w:rsidR="005B5A48" w:rsidRPr="005B5A48" w:rsidRDefault="005B5A48" w:rsidP="005B5A48">
      <w:pPr>
        <w:autoSpaceDE/>
        <w:autoSpaceDN/>
        <w:adjustRightInd/>
        <w:jc w:val="both"/>
        <w:rPr>
          <w:rFonts w:ascii="Arial" w:eastAsia="Calibri" w:hAnsi="Arial" w:cs="Arial"/>
          <w:color w:val="000000"/>
          <w:sz w:val="22"/>
          <w:szCs w:val="22"/>
          <w:lang w:val="ca-ES"/>
        </w:rPr>
      </w:pPr>
    </w:p>
    <w:p w14:paraId="7AFE06FE" w14:textId="77777777" w:rsidR="005B5A48" w:rsidRPr="005B5A48" w:rsidRDefault="005B5A48" w:rsidP="005B5A48">
      <w:pPr>
        <w:autoSpaceDE/>
        <w:autoSpaceDN/>
        <w:adjustRightInd/>
        <w:jc w:val="both"/>
        <w:rPr>
          <w:rFonts w:ascii="Arial" w:eastAsia="Calibri" w:hAnsi="Arial" w:cs="Arial"/>
          <w:color w:val="333333"/>
          <w:sz w:val="22"/>
          <w:szCs w:val="22"/>
          <w:shd w:val="clear" w:color="auto" w:fill="FFFFFF"/>
          <w:lang w:val="ca-ES"/>
        </w:rPr>
      </w:pPr>
      <w:r w:rsidRPr="005B5A48">
        <w:rPr>
          <w:rFonts w:ascii="Arial" w:eastAsia="Calibri" w:hAnsi="Arial" w:cs="Arial"/>
          <w:color w:val="000000"/>
          <w:sz w:val="22"/>
          <w:szCs w:val="22"/>
          <w:lang w:val="ca-ES"/>
        </w:rPr>
        <w:t>a)</w:t>
      </w:r>
      <w:r w:rsidRPr="005B5A48">
        <w:rPr>
          <w:rFonts w:ascii="Arial" w:eastAsia="Calibri" w:hAnsi="Arial" w:cs="Arial"/>
          <w:color w:val="000000"/>
          <w:sz w:val="22"/>
          <w:szCs w:val="22"/>
          <w:lang w:val="ca-ES"/>
        </w:rPr>
        <w:tab/>
      </w:r>
      <w:r w:rsidRPr="005B5A48">
        <w:rPr>
          <w:rFonts w:ascii="Arial" w:eastAsia="Calibri" w:hAnsi="Arial" w:cs="Arial"/>
          <w:sz w:val="22"/>
          <w:szCs w:val="22"/>
          <w:lang w:val="ca-ES"/>
        </w:rPr>
        <w:t xml:space="preserve">La classificació no es obligatòria i caldrà acreditar-la pels </w:t>
      </w:r>
      <w:r w:rsidRPr="005B5A48">
        <w:rPr>
          <w:rFonts w:ascii="Arial" w:eastAsia="Calibri" w:hAnsi="Arial" w:cs="Arial"/>
          <w:color w:val="333333"/>
          <w:sz w:val="22"/>
          <w:szCs w:val="22"/>
          <w:shd w:val="clear" w:color="auto" w:fill="FFFFFF"/>
          <w:lang w:val="ca-ES"/>
        </w:rPr>
        <w:t>mitjans establerts com a supletoris en l’article 87.3 de la LCSP –solvència econòmica i financera-, article 88.3 de la LCSP –solvència tècnica en els contractes d'obres-, article 89.3 de la LCSP.</w:t>
      </w:r>
    </w:p>
    <w:p w14:paraId="7E5F4810" w14:textId="77777777" w:rsidR="005B5A48" w:rsidRPr="005B5A48" w:rsidRDefault="005B5A48" w:rsidP="005B5A48">
      <w:pPr>
        <w:autoSpaceDE/>
        <w:autoSpaceDN/>
        <w:adjustRightInd/>
        <w:jc w:val="both"/>
        <w:rPr>
          <w:rFonts w:ascii="Arial" w:eastAsia="Calibri" w:hAnsi="Arial" w:cs="Arial"/>
          <w:color w:val="333333"/>
          <w:sz w:val="22"/>
          <w:szCs w:val="22"/>
          <w:shd w:val="clear" w:color="auto" w:fill="FFFFFF"/>
          <w:lang w:val="ca-ES"/>
        </w:rPr>
      </w:pPr>
    </w:p>
    <w:p w14:paraId="285C8F84" w14:textId="77777777" w:rsidR="005B5A48" w:rsidRPr="005B5A48" w:rsidRDefault="005B5A48" w:rsidP="005B5A48">
      <w:pPr>
        <w:autoSpaceDE/>
        <w:autoSpaceDN/>
        <w:adjustRightInd/>
        <w:jc w:val="both"/>
        <w:rPr>
          <w:rFonts w:ascii="Arial" w:eastAsia="Calibri" w:hAnsi="Arial" w:cs="Arial"/>
          <w:sz w:val="22"/>
          <w:szCs w:val="22"/>
          <w:lang w:val="ca-ES"/>
        </w:rPr>
      </w:pPr>
      <w:r w:rsidRPr="005B5A48">
        <w:rPr>
          <w:rFonts w:ascii="Arial" w:eastAsia="Calibri" w:hAnsi="Arial" w:cs="Arial"/>
          <w:color w:val="333333"/>
          <w:sz w:val="22"/>
          <w:szCs w:val="22"/>
          <w:shd w:val="clear" w:color="auto" w:fill="FFFFFF"/>
          <w:lang w:val="ca-ES"/>
        </w:rPr>
        <w:t>Les empreses que acreditin una classificació:</w:t>
      </w:r>
      <w:r w:rsidRPr="005B5A48">
        <w:rPr>
          <w:rFonts w:ascii="Arial" w:eastAsia="Calibri" w:hAnsi="Arial" w:cs="Arial"/>
          <w:sz w:val="22"/>
          <w:szCs w:val="22"/>
          <w:lang w:val="ca-ES"/>
        </w:rPr>
        <w:t xml:space="preserve"> </w:t>
      </w:r>
    </w:p>
    <w:p w14:paraId="01FA7E9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Grup: G</w:t>
      </w:r>
    </w:p>
    <w:p w14:paraId="01D827B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Subgrups: 3</w:t>
      </w:r>
    </w:p>
    <w:p w14:paraId="5C77CFA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Categoria: 2</w:t>
      </w:r>
    </w:p>
    <w:p w14:paraId="7B65168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Tindran acreditada la solvència.</w:t>
      </w:r>
    </w:p>
    <w:p w14:paraId="701EBA7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p>
    <w:p w14:paraId="65E5787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F4B87C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1.11) Criteris d'adjudicació </w:t>
      </w:r>
    </w:p>
    <w:p w14:paraId="7FA5DF7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97B058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Els criteris a tenir en compte a l’hora de considerar quina és la millor proposició relació qualitat-preu seran, els que tot seguit es detallen:</w:t>
      </w:r>
    </w:p>
    <w:p w14:paraId="1F905E3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07B511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5E231B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Preu ofertat..................................................................................................fins a 100 punts</w:t>
      </w:r>
    </w:p>
    <w:p w14:paraId="219A6EA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C94105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Es puntuarà d’acord amb la fórmula següent:</w:t>
      </w:r>
    </w:p>
    <w:p w14:paraId="1742B72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578118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A4640A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Pressupost net de licitació – oferta</w:t>
      </w:r>
    </w:p>
    <w:p w14:paraId="142A952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___________________________________ x Punts màxims = puntuació resultant</w:t>
      </w:r>
    </w:p>
    <w:p w14:paraId="40A85D7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Pressupost net de licitació – oferta més econ.</w:t>
      </w:r>
    </w:p>
    <w:p w14:paraId="1615B05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919B4F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-Altres criteris avaluables de forma automàtica:</w:t>
      </w:r>
    </w:p>
    <w:p w14:paraId="4A415C8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886676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Increment del termini de garantia inicialment fixat als plecs:</w:t>
      </w:r>
    </w:p>
    <w:p w14:paraId="6738B5A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Per un any addicional:  2 punts</w:t>
      </w:r>
    </w:p>
    <w:p w14:paraId="059D911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Per dos anys addicionals: 4 punts</w:t>
      </w:r>
    </w:p>
    <w:p w14:paraId="08D4463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Per tres anys addicionals o més: 6 punts</w:t>
      </w:r>
    </w:p>
    <w:p w14:paraId="5296BFE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C4C56B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7A83A0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1.12) Criteris de desempat </w:t>
      </w:r>
    </w:p>
    <w:p w14:paraId="2BC6B5D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13B0C1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cas d’igualació de proposicions, els criteris per al desempat seran els establerts a la Llei.</w:t>
      </w:r>
    </w:p>
    <w:p w14:paraId="514C9CE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32C717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B09808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1.13) Termini per a l’adjudicació</w:t>
      </w:r>
    </w:p>
    <w:p w14:paraId="1693970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715C0E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L’adjudicació es realitzarà dins el termini de 2 mesos a comptar des de la data d’obertura de les ofertes rebudes. </w:t>
      </w:r>
    </w:p>
    <w:p w14:paraId="58975F0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226417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0AAB14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1.14) Variants </w:t>
      </w:r>
    </w:p>
    <w:p w14:paraId="3F60917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BA634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Els licitadors no podran presentar variants en les seves ofertes.</w:t>
      </w:r>
    </w:p>
    <w:p w14:paraId="678009E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6083AF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4CB902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1.15) Ofertes anormalment baixes</w:t>
      </w:r>
    </w:p>
    <w:p w14:paraId="4065909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367DC4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Es consideraran ofertes anormalment baixes les que s’estableix d’acord amb l’art. 85 RGLCAP.</w:t>
      </w:r>
    </w:p>
    <w:p w14:paraId="127A3BD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56EC8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FBD5BD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1.16) Garantia provisional</w:t>
      </w:r>
    </w:p>
    <w:p w14:paraId="1E7A700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A28735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No procedeix la constitució de garantia provisional, en tractar-se d’un procediment obert simplificat.</w:t>
      </w:r>
    </w:p>
    <w:p w14:paraId="5CDCBBC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B1D64F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1B81C9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1.17) Garantia definitiva</w:t>
      </w:r>
    </w:p>
    <w:p w14:paraId="1F2ECA0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108D58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La garantia definitiva a constituir pel licitador que hagi presentat la millor oferta serà la corresponent al 5% de l’import d’adjudicació, IVA exclòs.</w:t>
      </w:r>
    </w:p>
    <w:p w14:paraId="2AF40F8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004A16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La garantia definitiva es podrà prestar mitjançant qualsevol de les formes previstes a l’article 108.1 LCSP. </w:t>
      </w:r>
    </w:p>
    <w:p w14:paraId="7CB1EEA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11E241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C5C281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1.18) Presentació de documentació </w:t>
      </w:r>
    </w:p>
    <w:p w14:paraId="467B56C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4BD926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licitador proposat com a adjudicatari abans de l’adjudicació i dins del termini de 7  dies hàbils comptadors des de la data d’enviament del requeriment electrònic que preveu l’article 159.4 de la LCSP haurà de:   </w:t>
      </w:r>
    </w:p>
    <w:p w14:paraId="77A7098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E2681F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Acreditar la constitució de la garantia definitiva, (cas de ser exigida i llevat que s’instrumenti mitjançant retenció en el preu).</w:t>
      </w:r>
    </w:p>
    <w:p w14:paraId="065605C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D27891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Presentar els documents següents: </w:t>
      </w:r>
    </w:p>
    <w:p w14:paraId="60C3183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785B0A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La documentació acreditativa de les circumstàncies consignades en la declaració responsable aportada i la resta que sigui exigible. </w:t>
      </w:r>
    </w:p>
    <w:p w14:paraId="1ED7D8D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9A714A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En ser obligatòria la inscripció al Registre Oficial de Licitadors i Empreses Classificades del Sector Públic o al Registre Oficial de la corresponent Comunitat Autònoma, el licitador proposat com a adjudicatari restarà eximit de presentar la documentació relativa als requisits previs per a contractar amb l’Administració si aquesta documentació consta en algun dels dits Registres. </w:t>
      </w:r>
    </w:p>
    <w:p w14:paraId="79CF8B3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A1C298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Cas de no presentar-se la documentació en el termini previst, s’entendrà que el licitador ha retirat la seva oferta, se li exigirà l’import del 3% del pressupost base de licitació, IVA exclòs, en concepte de penalitat, i es procedirà en els termes assenyalats a l’article 159.4.f).4º de la LCSP.</w:t>
      </w:r>
    </w:p>
    <w:p w14:paraId="1570E4A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700834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9B925D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1.19) Formalització del contracte </w:t>
      </w:r>
    </w:p>
    <w:p w14:paraId="2EEE7EC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E827CE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contracte es formalitzarà de conformitat amb el que disposa l’article 153 LCSP. </w:t>
      </w:r>
    </w:p>
    <w:p w14:paraId="3EFF416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17CD3D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tractar-se d’un contracte no susceptible de recurs especial, l’adjudicatari s’obliga a formalitzar-lo mitjançant document administratiu dins el termini de 15 dies hàbils a comptar des del següent a la remissió de la notificació de l’adjudicació.</w:t>
      </w:r>
    </w:p>
    <w:p w14:paraId="0CD7237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4784F9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En el supòsit que l’adjudicatari sigui una unió temporal d’empreses aquesta haurà d’estar formalment constituïda abans de la formalització del contracte. </w:t>
      </w:r>
    </w:p>
    <w:p w14:paraId="0692390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2A1E3C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7AD4D2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E747EB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w:t>
      </w:r>
      <w:r w:rsidRPr="005B5A48">
        <w:rPr>
          <w:rFonts w:ascii="Arial" w:eastAsia="Calibri" w:hAnsi="Arial"/>
          <w:color w:val="000000"/>
          <w:sz w:val="22"/>
          <w:szCs w:val="22"/>
          <w:lang w:val="ca-ES"/>
        </w:rPr>
        <w:tab/>
        <w:t>DADES RELATIVES A LA FASE D’EXECUCIÓ</w:t>
      </w:r>
    </w:p>
    <w:p w14:paraId="762D43B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18C71A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 Drets i obligacions de les parts</w:t>
      </w:r>
    </w:p>
    <w:p w14:paraId="43F1760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149BA4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Els drets i les obligacions de les parts seran, a més dels indicats a les clàusules de les dades específiques del contracte, aquells que resultin de la documentació contractual i la normativa aplicable i, en particular, els següents:</w:t>
      </w:r>
    </w:p>
    <w:p w14:paraId="247BA6B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6B8409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contractista s’obliga a adequar la seva activitat, en el marc de la seva relació contractual amb l’Ajuntament, als principis ètics i a les regles de conducta que permetin assegurar el compliment dels principis d’igualtat, d’imparcialitat i d’integritat, d’objectivitat i de transparència. En particular, s’obliga a:</w:t>
      </w:r>
    </w:p>
    <w:p w14:paraId="5592562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9FF7DE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Facilitar a l’Ajuntament la informació establerta per la Llei 19/2014, de 29 de desembre, de transparència, accés a la informació pública i bon govern i qualsevol d’altra que li sigui requerida d’acord amb la normativa vigent.</w:t>
      </w:r>
    </w:p>
    <w:p w14:paraId="098D735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28F80F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Comunicar a l’Ajuntament les possibles situacions de conflicte d’interessos o d’altres anàlogues de les què tingui coneixement que afectin, directa o indirectament, a la present contractació i puguin posar en risc l’interès públic. </w:t>
      </w:r>
    </w:p>
    <w:p w14:paraId="265356D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636C75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Per conflicte d’interessos s’entén qualsevol situació en la què el personal al servei de l’òrgan de contractació, que a més participi en el desenvolupament del procediment de licitació o pugui influir en el seu resultat, tingui directa o indirectament un interès financer, econòmic o personal que pugui semblar que compromet la seva imparcialitat i independència en el context de dit procediment de licitació.</w:t>
      </w:r>
    </w:p>
    <w:p w14:paraId="5E8A945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569ED3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Abstenir-se de realitzar, fomentar, proposar o promoure qualsevol mena de pràctica corrupta que afecti o pugui afectar la relació contractual en els termes previstos en el Codi Penal vigent en cada moment.</w:t>
      </w:r>
    </w:p>
    <w:p w14:paraId="4BBDB9A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889479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contractista s’obliga a facilitar tota la documentació que li sigui requerida en relació amb els seus subcontractistes o subministradors (cas d’admetre’s la subcontractació) en els termes de l’article 217 LCSP.</w:t>
      </w:r>
    </w:p>
    <w:p w14:paraId="558C3D9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0241D4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485037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2.2) Condicions especials d’execució</w:t>
      </w:r>
    </w:p>
    <w:p w14:paraId="7DE1D22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B49058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No hi ha condicions especials d’execució.</w:t>
      </w:r>
    </w:p>
    <w:p w14:paraId="1B66562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002DF0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933858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2.3) Modificació del contracte</w:t>
      </w:r>
    </w:p>
    <w:p w14:paraId="589698C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46F28F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contracte només podrà modificar-se per raons d'interès públic en els supòsits i en la forma prevista en els articles 203 a 207 i concordants de la LCSP i la resta de normativa aplicable.</w:t>
      </w:r>
    </w:p>
    <w:p w14:paraId="5783411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16482B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7F6A5C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2.4) Règim de pagament </w:t>
      </w:r>
    </w:p>
    <w:p w14:paraId="7C41B4B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FBE443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contractista  presentarà factures mensuals.</w:t>
      </w:r>
    </w:p>
    <w:p w14:paraId="414AEDB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28F085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pagament es realitzarà per l’Ajuntament, en els terminis establerts en l’article 198.4 LCSP, sens perjudici que se li pugui exigir la presentació dels documents de cotització del personal destinat a l'execució del contracte, als efectes de comprovar que es troba al corrent del compliment de les seves obligacions amb la Seguretat Social.</w:t>
      </w:r>
    </w:p>
    <w:p w14:paraId="74407AB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8B017B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contractista ha de presentar factures electròniques d’acord amb la normativa vigent.</w:t>
      </w:r>
    </w:p>
    <w:p w14:paraId="468BB17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823C2B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totes les factures electròniques la identificació dels centres gestors destinataris es farà mitjançant els següent codi DIR3: L01082711</w:t>
      </w:r>
    </w:p>
    <w:p w14:paraId="0EF3132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E3252B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B9C6CB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2.5) Revisió de preus </w:t>
      </w:r>
    </w:p>
    <w:p w14:paraId="0B032C0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3BBEA7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No s’admet la revisió de preus.</w:t>
      </w:r>
    </w:p>
    <w:p w14:paraId="2B1DE73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53BED9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717888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2.6) Penalitats </w:t>
      </w:r>
    </w:p>
    <w:p w14:paraId="3CDEBEB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846B05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Cas que l’Ajuntament opti per la no resolució del contracte, s’imposaran al contractista les penalitats següents:</w:t>
      </w:r>
    </w:p>
    <w:p w14:paraId="5AE704B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BACD2E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w:t>
      </w:r>
      <w:r w:rsidRPr="005B5A48">
        <w:rPr>
          <w:rFonts w:ascii="Arial" w:eastAsia="Calibri" w:hAnsi="Arial"/>
          <w:color w:val="000000"/>
          <w:sz w:val="22"/>
          <w:szCs w:val="22"/>
          <w:lang w:val="ca-ES"/>
        </w:rPr>
        <w:tab/>
        <w:t>per l’incompliment del termini, total o parcial, s’imposarà:</w:t>
      </w:r>
    </w:p>
    <w:p w14:paraId="6023830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D670D8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una penalitat diària en la proporció de 0,60€ per cada 1.000 € del preu del contracte, IVA exclòs. </w:t>
      </w:r>
    </w:p>
    <w:p w14:paraId="057F717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5302E7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B)</w:t>
      </w:r>
      <w:r w:rsidRPr="005B5A48">
        <w:rPr>
          <w:rFonts w:ascii="Arial" w:eastAsia="Calibri" w:hAnsi="Arial"/>
          <w:color w:val="000000"/>
          <w:sz w:val="22"/>
          <w:szCs w:val="22"/>
          <w:lang w:val="ca-ES"/>
        </w:rPr>
        <w:tab/>
        <w:t>per altres incompliments, amb el límit del 10% del preu del contracte, per a cada penalitat, i amb el límit del 50% en el seu conjunt, ambdós IVA exclòs, s’imposaran:</w:t>
      </w:r>
    </w:p>
    <w:p w14:paraId="247304A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B85BBA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pel compliment defectuós de la prestació o per l’incompliment dels compromisos, s’imposaran penalitats de fins al 5 % sobre el preu del contracte, IVA exclòs, que hauran de ser proporcionals al grau d’incompliment, en els termes següents:</w:t>
      </w:r>
    </w:p>
    <w:p w14:paraId="047CD8B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493102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la tramitació de l’expedient, es donarà audiència al contractista perquè pugui formular al•legacions, i l’òrgan de contractació resoldrà, prèvia l’emissió dels informes pertinents.</w:t>
      </w:r>
    </w:p>
    <w:p w14:paraId="58DF143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11835D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Els imports de les penalitats que s’imposin es faran efectius mitjançant la deducció de les quantitats que, en concepte de pagament, s’hagin d’abonar a l’empresa contractista, o sobre la garantia que, si s’escau, s’hagués constituït, quan no es puguin deduir els pagaments esmentats.</w:t>
      </w:r>
    </w:p>
    <w:p w14:paraId="18D720A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00B5C9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els supòsits d’incompliment parcial o compliment defectuós o de demora en l’execució en què no estigui prevista penalitat, o aquesta no cobreixi els danys causats a l’Ajuntament, s’exigirà al contractista la indemnització per danys i perjudicis.</w:t>
      </w:r>
    </w:p>
    <w:p w14:paraId="1EEBD04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7A1231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BCB366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2.7) Causes de resolució </w:t>
      </w:r>
    </w:p>
    <w:p w14:paraId="1DF1F85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6CFDD1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Són causes de resolució del contracte, a més de les previstes als articles 211 i concordants de la LCSP, i el fet d’incórrer el contractista en qualsevol de les causes de prohibició per a contractar amb l’Administració Pública estipulades a l’article 71 LCSP. </w:t>
      </w:r>
    </w:p>
    <w:p w14:paraId="4F60C45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E5A394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53CDD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2.8) Termini de recepció de les prestacions del contracte</w:t>
      </w:r>
    </w:p>
    <w:p w14:paraId="080D107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83D913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No s’estableix termini especial de recepció i regirà el termini general d’un mes a comptar des del lliurament o la realització de l’objecte del contracte, recepció que s’haurà de formalitzar mitjançant el corresponent document acreditatiu.</w:t>
      </w:r>
    </w:p>
    <w:p w14:paraId="6CF847E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BEBB58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CA0981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2.9) Termini de garantia del contracte</w:t>
      </w:r>
    </w:p>
    <w:p w14:paraId="67F7C18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6C97A1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Es fixa un termini de garantia de 2 anys a comptar des de la data de recepció i/o conformitat de la prestació contractada.</w:t>
      </w:r>
    </w:p>
    <w:p w14:paraId="1A5CC65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4314A6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200FD2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2.10) Cessió</w:t>
      </w:r>
    </w:p>
    <w:p w14:paraId="1AFBCA6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890D57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Els drets i obligacions relatius a aquest contracte podran ser cedits per l’empresa contractista a una tercera persona, sempre que les qualitats tècniques o personals de qui cedeix no hagin estat raó determinant de l’adjudicació del contracte i prèvia autorització expressa de l’Administració, quan es compleixin els requisits establerts en l’article 214 LCSP, i de la cessió no resulti una restricció efectiva de la competència en </w:t>
      </w:r>
      <w:r w:rsidRPr="005B5A48">
        <w:rPr>
          <w:rFonts w:ascii="Arial" w:eastAsia="Calibri" w:hAnsi="Arial"/>
          <w:color w:val="000000"/>
          <w:sz w:val="22"/>
          <w:szCs w:val="22"/>
          <w:lang w:val="ca-ES"/>
        </w:rPr>
        <w:lastRenderedPageBreak/>
        <w:t xml:space="preserve">el mercat. No es pot autoritzar la cessió a una tercera persona quan la cessió suposi una alteració substancial de les característiques de l’empresa contractista si aquestes constitueixen un element essencial del contracte. </w:t>
      </w:r>
    </w:p>
    <w:p w14:paraId="77592BD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2F39E2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706860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2.11) Subcontractació </w:t>
      </w:r>
    </w:p>
    <w:p w14:paraId="6051525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AD01D6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contractista solament podrà subcontractar vàlidament la realització del contracte, fins al 60% de l’import d’adjudicació/pressupost de licitació, IVA exclòs, de conformitat amb els requisits assenyalats a l’article 215 LCSP. </w:t>
      </w:r>
    </w:p>
    <w:p w14:paraId="0D05F8A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920E38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Si no s’ha indicat prèviament a l’oferta, el contractista comunicarà per escrit a l’Ajuntament, després de l’adjudicació del contracte o a l’inici de la seva execució, la intenció de celebrar subcontractes o qualsevol modificació d’aquesta, tot indicant la part de la prestació a subcontractar i la seva identitat, les dades de contacte i els representats legals del subcontractista així com justificant l’aptitud d’aquest per executar-la de conformitat amb l’establert per la normativa i el present plec i que no està incurs en cap supòsit de prohibició per contractar.</w:t>
      </w:r>
    </w:p>
    <w:p w14:paraId="3DC5891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E29D38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5A5ED5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2.12) Confidencialitat de la informació</w:t>
      </w:r>
    </w:p>
    <w:p w14:paraId="498FEF8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1E44F8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La declaració de confidencialitat dels licitadors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1ECCC1B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02F8B9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No tenen en cap cas caràcter confidencial l’oferta econòmica de l’empresa, ni les dades incloses en el DEUC o declaració anàloga.</w:t>
      </w:r>
    </w:p>
    <w:p w14:paraId="2B0B66C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F73370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el cas de manca d’indicació, s’entendrà que la documentació facilitada no té caràcter confidencial.</w:t>
      </w:r>
    </w:p>
    <w:p w14:paraId="3213447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835536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D’acord amb l’article 133.2 LCSP, el contractista haurà de respectar el caràcter confidencial de la informació a la qual tingui accés degut a l’execució del contracte.</w:t>
      </w:r>
    </w:p>
    <w:p w14:paraId="20CC902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2C2C87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deure de confidencialitat tindrà una vigència de cinc anys a comptar des del coneixement de la informació de referència.</w:t>
      </w:r>
    </w:p>
    <w:p w14:paraId="65913BB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FACEE6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De conformitat amb l’article 133.1 LCSP, l’òrgan de contractació no podrà divulgar la informació facilitada pels licitadors i designada, de forma expressa i justificada, per aquests com a confidencial. </w:t>
      </w:r>
    </w:p>
    <w:p w14:paraId="784339E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611A4F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DF190C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2.13) Règim jurídic de la contractació</w:t>
      </w:r>
    </w:p>
    <w:p w14:paraId="274C43B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3CD9A8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règim jurídic del contracte es troba constituït pel present Plec de Clàusules Administratives Particulars, pel Plec de Prescripcions Tècniques Particulars/Projecte d’obres, per la Llei 9/2017, de 8 de novembre, de Contractes del Sector Públic, </w:t>
      </w:r>
      <w:r w:rsidRPr="005B5A48">
        <w:rPr>
          <w:rFonts w:ascii="Arial" w:eastAsia="Calibri" w:hAnsi="Arial"/>
          <w:color w:val="000000"/>
          <w:sz w:val="22"/>
          <w:szCs w:val="22"/>
          <w:lang w:val="ca-ES"/>
        </w:rPr>
        <w:lastRenderedPageBreak/>
        <w:t xml:space="preserve">mitjançant la qual es transposen a l’ordenament jurídic espanyol les Directives del Parlament Europeu i del Consell 2014/23/UE i 2014/24/UE, de 26 de febrer de 2014, i la seva normativa de desplegament, pel Decret Llei 3/2016, de 31 de maig, de mesures urgents en matèria de contractació, així com per la resta de normativa legal aplicable. </w:t>
      </w:r>
    </w:p>
    <w:p w14:paraId="71ADA32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D58E9E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71241E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2.14) Notificacions i ús de mitjans electrònics</w:t>
      </w:r>
    </w:p>
    <w:p w14:paraId="2277D00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97384F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Les notificacions derivades de l’expedient de contractació s’efectuaran per mitjans electrònics.</w:t>
      </w:r>
    </w:p>
    <w:p w14:paraId="0FC0BFF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0911E1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S’efectuaran mitjançant un sistema que garanteix la posada a disposició i l’accés al seu contingut a través del servei de notificacions electròniques e-NOTUM del Consorci de l’Administració Oberta de Catalunya (AOC).</w:t>
      </w:r>
    </w:p>
    <w:p w14:paraId="0A3CAE3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4F3C3F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sistema enviarà un correu electrònic a l’adreça electrònica que a tal efecte s’indiqui, en el qual s’informarà del dipòsit de la notificació. També es podrà enviar un SMS, en cas que s’hagi facilitat un número de telèfon mòbil.</w:t>
      </w:r>
    </w:p>
    <w:p w14:paraId="26B130E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AE99E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Les notificacions electròniques s'entendran rebutjades a tots els efectes si, un cop s'ha acreditat la seva posada a disposició, han transcorregut 10 dies naturals sense que s’hagi accedit al seu contingut. </w:t>
      </w:r>
    </w:p>
    <w:p w14:paraId="23545B9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4B5E3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L’ús de mitjans electrònics en aquest procediment seguirà les instruccions accessibles al Perfil de Contractant.</w:t>
      </w:r>
    </w:p>
    <w:p w14:paraId="4469549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7DE25B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0593AD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2.15) Obligacions laborals, socials, fiscals, de protecció de dades personals, i mediambientals del contractista</w:t>
      </w:r>
    </w:p>
    <w:p w14:paraId="3A340D4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9EDF9D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contractista restarà obligat al compliment de les disposicions vigents en matèria laboral, de seguretat social, de seguretat i salut en el treball, de prevenció de riscos laborals, d'integració social de les persones amb discapacitat, d’igualtat efectiva de dones i homes, fiscal, de protecció de dades personals, i en matèria mediambiental.</w:t>
      </w:r>
    </w:p>
    <w:p w14:paraId="39977F6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3FF96D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F49A83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2.16) Assegurances</w:t>
      </w:r>
    </w:p>
    <w:p w14:paraId="47C6389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A75DC2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contractista s’obliga a disposar d’una pòlissa d’assegurança de responsabilitat civil per un import mínim de 300.000 €.</w:t>
      </w:r>
    </w:p>
    <w:p w14:paraId="368AF80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C5A82D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75AE2A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2.17) Lloc de realització de objecte del contracte</w:t>
      </w:r>
    </w:p>
    <w:p w14:paraId="44B4F08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C7BAA0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lloc fixat per a realització de les obres objecte del contracte és els camins municipals de Sobremunt que es descriuen en el projecte.</w:t>
      </w:r>
    </w:p>
    <w:p w14:paraId="5F35CF17"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E56806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78870C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2.18) Responsable del contracte</w:t>
      </w:r>
    </w:p>
    <w:p w14:paraId="585AF36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437CAD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Es designa responsable del contracte, amb les funcions previstes a l’article 62 LCSP, a la direcció d’obra.</w:t>
      </w:r>
    </w:p>
    <w:p w14:paraId="5B6CBA6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5389CC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la responsable del contracte no podrà, en cap cas, ni per compte propi ni aliè, intervenir en aquest procés de contractació com a licitador.</w:t>
      </w:r>
    </w:p>
    <w:p w14:paraId="17E4169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443D95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qualsevol cas, la impossibilitat d’intervenció abastarà les persones jurídiques en quin capital aquell o els seus cònjuges, convivents i/o descendents sobre els que tinguin representació legal ostentin una participació superior al 10% i/o en siguin administradors.</w:t>
      </w:r>
    </w:p>
    <w:p w14:paraId="59F62F8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489519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30BCCA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2.19) Protecció de dades de caràcter personal </w:t>
      </w:r>
    </w:p>
    <w:p w14:paraId="66B6B80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ABE8F1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L’empresa contractista, en relació amb les dades personals a les quals tingui accés amb ocasió del contracte, s’obliga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i a l’establert a la Llei orgànica 3/2018, de 5 de desembre, de protecció de dades de caràcter personal i garantia dels drets digitals i a la normativa de desenvolupament, en tot allò que no contradigui a l’esmentat Reglament.</w:t>
      </w:r>
    </w:p>
    <w:p w14:paraId="4B84B8E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DB560D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24FD39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 DADES ESPECÍFIQUES DELS CONTRACTES D’OBRES</w:t>
      </w:r>
    </w:p>
    <w:p w14:paraId="7B7450D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84F43C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3.1) Delegació i personal d’obra del contractista</w:t>
      </w:r>
    </w:p>
    <w:p w14:paraId="53E79E6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7B5AED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Delegat d’obra designat pel contractista, en compliment d’allò que preveu el Plec General, haurà de tenir la capacitat tècnica necessària.</w:t>
      </w:r>
    </w:p>
    <w:p w14:paraId="10012F8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888CAD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2D9BB6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3.2) Despeses conseqüència d’assaigs i anàlisi de materials i unitats d’obra</w:t>
      </w:r>
    </w:p>
    <w:p w14:paraId="05F6FB1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F0C772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director de les obres ordenarà els assaigs de control de qualitat necessaris per a l’acceptació dels materials i unitats d’obra executades. Aquests assaigs de control de qualitat seran executats per un laboratori degudament homologat, contractat a tal efectes per l’Ajuntament. </w:t>
      </w:r>
    </w:p>
    <w:p w14:paraId="4C44EBE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B1B3F8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Les despeses que s’originin seran a càrrec del contractista fins el límit de l’ú per cent (1%) de l’import del tipus de licitació, mitjançant el corresponent descompte de la certificació mensual d’obres o de la certificació final. </w:t>
      </w:r>
    </w:p>
    <w:p w14:paraId="2F602D5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7B8A85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3.3) Pla de seguretat i salut</w:t>
      </w:r>
    </w:p>
    <w:p w14:paraId="221EF8D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93DCEF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contractista estarà obligat a elaborar un Pla de Seguretat i Salut en el Treball, en aplicació de l’Estudi de Seguretat i Salut o Estudi Bàsic de Seguretat i Salut i en els </w:t>
      </w:r>
      <w:r w:rsidRPr="005B5A48">
        <w:rPr>
          <w:rFonts w:ascii="Arial" w:eastAsia="Calibri" w:hAnsi="Arial"/>
          <w:color w:val="000000"/>
          <w:sz w:val="22"/>
          <w:szCs w:val="22"/>
          <w:lang w:val="ca-ES"/>
        </w:rPr>
        <w:lastRenderedPageBreak/>
        <w:t>termes que preveu l’article 7 del RD 1627/1997, de 24 d’octubre. Així mateix, durant l’execució dels treballs, l’adjudicatari estarà obligat al compliment dels “principis generals aplicables durant l’execució de l’obra” continguts en els articles 10 i 11 i en l’annex IV de l’esmentat Reial Decret i obligacions concordants.</w:t>
      </w:r>
    </w:p>
    <w:p w14:paraId="73389DC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E0AF91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el cas que el contractista sigui un treballador autònom, restarà obligat igualment a l’elaboració del Pla de Seguretat i Salut en el Treball a què es refereix el paràgraf anterior, si bé pot assumir aquesta obligació efectuant l’encàrrec al tècnic competent que consideri oportú, sense que aquest fet pugui comportar cap augment del preu del contracte a què es refereix el present Plec.</w:t>
      </w:r>
    </w:p>
    <w:p w14:paraId="6603FBE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1E34DA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Igualment s’obliga al treballador autònom al compliment dels principis contemplats en els articles 10 i 11 i annex IV i especialment en l’article 12 del RD 1627/1997, de 24 d’octubre, així com a complir exactament i fidelment les instruccions que rebi en aquesta matèria de la direcció facultativa i de l’Ajuntament.</w:t>
      </w:r>
    </w:p>
    <w:p w14:paraId="48276BE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B63E53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contractista haurà de presentar 5 exemplars, en el moment de la signatura del contracte. </w:t>
      </w:r>
    </w:p>
    <w:p w14:paraId="325C8C4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37F375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El Pla de Seguretat i Salut en el Treball  haurà de ser aprovat per l’òrgan competent. </w:t>
      </w:r>
    </w:p>
    <w:p w14:paraId="627B0ED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5F5798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Cas que el Pla de Seguretat i Salut en el Treball no obtingui la conformitat prèvia del servei promotor, es requerirà al contractista, perquè en un nou termini de 10 dies hàbils realitzi les esmenes que se li indiquin. </w:t>
      </w:r>
    </w:p>
    <w:p w14:paraId="554493C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2E506D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743402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3.4) Acta de comprovació de replanteig i d’inici de les obres</w:t>
      </w:r>
    </w:p>
    <w:p w14:paraId="1A00721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E26452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Dins un termini no superior a un mes des de la data de formalització del contracte es procedirà en presència del contractista a efectuar la comprovació del replanteig i s’estendrà una acta del resultat que serà signada pel contractista i per la direcció facultativa de l’obra.</w:t>
      </w:r>
    </w:p>
    <w:p w14:paraId="3D37F71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70EBB8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Quan el resultat de la comprovació del replanteig sigui conforme, la Direcció facultativa autoritzarà expressament l’inici de les obres en la mateixa acta, sempre que s’hagi notificat al contractista l’acord d’aprovació del Pla de Seguretat i Salut en el Treball.</w:t>
      </w:r>
    </w:p>
    <w:p w14:paraId="7B3C9D7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F71578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En cas de no haver-se notificat, aquesta incidència es farà constar a l’acta de comprovació del replanteig, i el contractista i l’Ajuntament signaran una acta d’inici de les obres en un termini màxim de 10 dies naturals comptats a partir de l’endemà d’aquesta notificació.</w:t>
      </w:r>
    </w:p>
    <w:p w14:paraId="1A3902D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82F79B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05CC8A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3.5) Legalització de les instal•lacions</w:t>
      </w:r>
    </w:p>
    <w:p w14:paraId="328B905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F2CCD8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Una vegada executades les obres i dins del termini del mes que s’estableix per formalitzar l’acta de recepció, el contractista estarà obligat a tramitar la legalització de les instal•lacions davant dels serveis territorials d’indústria de la Generalitat, la qual cosa implica la redacció dels projectes corresponents de legalització de les instal•lacions </w:t>
      </w:r>
      <w:r w:rsidRPr="005B5A48">
        <w:rPr>
          <w:rFonts w:ascii="Arial" w:eastAsia="Calibri" w:hAnsi="Arial"/>
          <w:color w:val="000000"/>
          <w:sz w:val="22"/>
          <w:szCs w:val="22"/>
          <w:lang w:val="ca-ES"/>
        </w:rPr>
        <w:lastRenderedPageBreak/>
        <w:t>contingudes en el projecte i dirigir-ne l’execució. Les despeses ocasionades per les esmentades obligacions de redacció, direcció i legalització (taxes, visats...) són a càrrec del contractista i s’entenen, per tant, incloses en el pressupost d’adjudicació.</w:t>
      </w:r>
    </w:p>
    <w:p w14:paraId="64D61DF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548901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BCC391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3.6) Permisos i llicències</w:t>
      </w:r>
    </w:p>
    <w:p w14:paraId="74B606E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634DCC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Tots els permisos i llicències necessaris per a l’execució de l’obra seran obtinguts per l’adjudicatari i al seu càrrec, excepte els relatius a expropiacions, imposició de servituds respecte a organismes de l’Administració i llicències municipals i tributs locals.</w:t>
      </w:r>
    </w:p>
    <w:p w14:paraId="3506DC7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344AC1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C8A55D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3.7) Gestió dels residus</w:t>
      </w:r>
    </w:p>
    <w:p w14:paraId="420C7D3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42B70F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Així mateix, el contractista estarà obligat a donar compliment estricte a les determinacions que es fixin a la llicència municipal sobre la gestió dels residus que generi durant l’execució de les obres i, específicament, les de lliurar-los a un gestor autoritzat, assumint, si escau, els costos de gestió. </w:t>
      </w:r>
    </w:p>
    <w:p w14:paraId="419A1F2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0AA109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74AEFC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3.8) Senyalització de les obres</w:t>
      </w:r>
    </w:p>
    <w:p w14:paraId="00DE9D36"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741DF4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Es senyalitzarà segons el previst al projecte.</w:t>
      </w:r>
    </w:p>
    <w:p w14:paraId="351EBB20"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6FD790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5195A3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 </w:t>
      </w:r>
    </w:p>
    <w:p w14:paraId="68A7955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0186FC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ANNEX AL PCAP</w:t>
      </w:r>
    </w:p>
    <w:p w14:paraId="44855BA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B1A8D4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OBRES DE </w:t>
      </w:r>
      <w:r w:rsidRPr="005B5A48">
        <w:rPr>
          <w:rFonts w:ascii="Arial" w:eastAsia="Calibri" w:hAnsi="Arial"/>
          <w:color w:val="000000"/>
          <w:sz w:val="22"/>
          <w:szCs w:val="22"/>
          <w:lang w:val="es-ES"/>
        </w:rPr>
        <w:t xml:space="preserve">MILLORA DE DIVERSOS CAMINIS MUNICIPALS DE SOBREMUNT </w:t>
      </w:r>
    </w:p>
    <w:p w14:paraId="54ABDD2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050DA2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xml:space="preserve">Model de declaració responsable </w:t>
      </w:r>
    </w:p>
    <w:p w14:paraId="18CD8C4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08AE9D7"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 INSERIR EN EL SOBRE ÚNIC –per a procediment obert simplificat únicament amb criteris automàtics -</w:t>
      </w:r>
    </w:p>
    <w:p w14:paraId="0C39AE7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BE7623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6AF1D3D" w14:textId="5B26E03E"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Sr./La Sra.......................................... amb NIF núm................., en nom propi / en representació de l’empresa .............., en qualitat de ..., i segons escriptura pública autoritzada davant Notari ......, en data ..... i amb número de protocol .../o document ..., CIF núm. .............., domiciliada a........... carrer ........................, núm.........., (persona de contacte......................, adreça de correu electrònic ................,  telèfon núm. ............... i fax núm.. .. .....................), opta a la contractació relativa a LA MILLORA DE DIVERSOS CAMINS MUNICIAPALS DE SOBREMUN</w:t>
      </w:r>
      <w:r w:rsidR="00E22977">
        <w:rPr>
          <w:rFonts w:ascii="Arial" w:eastAsia="Calibri" w:hAnsi="Arial"/>
          <w:color w:val="000000"/>
          <w:sz w:val="22"/>
          <w:szCs w:val="22"/>
          <w:lang w:val="ca-ES"/>
        </w:rPr>
        <w:t>T</w:t>
      </w:r>
      <w:r w:rsidRPr="005B5A48">
        <w:rPr>
          <w:rFonts w:ascii="Arial" w:eastAsia="Calibri" w:hAnsi="Arial"/>
          <w:color w:val="000000"/>
          <w:sz w:val="22"/>
          <w:szCs w:val="22"/>
          <w:lang w:val="ca-ES"/>
        </w:rPr>
        <w:t xml:space="preserve"> i DECLARA RESPONSABLEMENT:</w:t>
      </w:r>
    </w:p>
    <w:p w14:paraId="5701776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E4EF79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el perfil de l’empresa és el següent (marcar amb una creu):</w:t>
      </w:r>
    </w:p>
    <w:p w14:paraId="667C829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Gran empresa.</w:t>
      </w:r>
    </w:p>
    <w:p w14:paraId="51ABB48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w:t>
      </w:r>
      <w:r w:rsidRPr="005B5A48">
        <w:rPr>
          <w:rFonts w:ascii="Arial" w:eastAsia="Calibri" w:hAnsi="Arial"/>
          <w:color w:val="000000"/>
          <w:sz w:val="22"/>
          <w:szCs w:val="22"/>
          <w:lang w:val="ca-ES"/>
        </w:rPr>
        <w:tab/>
        <w:t>Mitjana, petita o microempresa.</w:t>
      </w:r>
    </w:p>
    <w:p w14:paraId="433868D1"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619FD5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les facultats de representació que ostenta són suficients i vigents (si s’actua per representació); que reuneix totes i cadascuna de les condicions establertes legalment i no incorre en cap de les prohibicions per contractar amb l’Administració previstes als articles 65 a 97 de la LCSP.</w:t>
      </w:r>
    </w:p>
    <w:p w14:paraId="0E19675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F9D97C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es troba al corrent del compliment de les obligacions tributàries i amb la Seguretat Social.</w:t>
      </w:r>
    </w:p>
    <w:p w14:paraId="5BD4386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783DCF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Que està inscrit en el Registre de Licitadors de la Generalitat de Catalunya i/o de l’Administració General de l’Estat i que les dades que hi consten no han experimentat cap variació.  </w:t>
      </w:r>
    </w:p>
    <w:p w14:paraId="18C0057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99F2A4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Que disposa de l’habilitació empresarial o professional, així com de la solvència econòmica i financera i tècnica o professional exigides en els termes de la clàusula 1.10) del PCAP i que es compromet a adscriure a l’execució del contracte els mitjans personals / materials descrits a la dita clàusula. </w:t>
      </w:r>
    </w:p>
    <w:p w14:paraId="0A26DE6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02E2C9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en el cas de recórrer a solvència externa, compta amb el compromís per escrit de les entitats corresponents per a disposar dels seus recursos i capacitats per a utilitzar-los en l’execució del contracte.</w:t>
      </w:r>
    </w:p>
    <w:p w14:paraId="567198A3"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EF981C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24F3891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DDF88E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w:t>
      </w:r>
    </w:p>
    <w:p w14:paraId="7394EE2C"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3381F46A"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no ha celebrat cap acord amb altres operadors econòmics destinats a falsejar la competència en l’àmbit d’aquest contracte i que no coneix cap conflicte d’interessos vinculat a la seva participació en aquest procediment de contractació.</w:t>
      </w:r>
    </w:p>
    <w:p w14:paraId="1B8A45A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29FB60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en cas que es tracti d’empresa estrangera, es sotmet a la jurisdicció dels Jutjats i Tribunals espanyols.</w:t>
      </w:r>
    </w:p>
    <w:p w14:paraId="6417A6AD"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A621D26"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la plantilla de l’empresa està integrada per un nombre de persones treballadores amb discapacitat no inferior al 2% o que s’ha adoptat alguna de les mesures alternatives previstes en la legislació vigent.</w:t>
      </w:r>
    </w:p>
    <w:p w14:paraId="210546F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SÍ</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 NO</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 NO obligat per normativa</w:t>
      </w:r>
    </w:p>
    <w:p w14:paraId="628178C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1C0369D3"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l’empresa disposa d’un pla d’igualtat d’oportunitats entre les dones i els homes.</w:t>
      </w:r>
    </w:p>
    <w:p w14:paraId="49FF7CF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 SÍ</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 NO</w:t>
      </w:r>
      <w:r w:rsidRPr="005B5A48">
        <w:rPr>
          <w:rFonts w:ascii="Arial" w:eastAsia="Calibri" w:hAnsi="Arial"/>
          <w:color w:val="000000"/>
          <w:sz w:val="22"/>
          <w:szCs w:val="22"/>
          <w:lang w:val="ca-ES"/>
        </w:rPr>
        <w:tab/>
        <w:t xml:space="preserve">             </w:t>
      </w:r>
      <w:r w:rsidRPr="005B5A48">
        <w:rPr>
          <w:rFonts w:ascii="Arial" w:eastAsia="Calibri" w:hAnsi="Arial"/>
          <w:color w:val="000000"/>
          <w:sz w:val="22"/>
          <w:szCs w:val="22"/>
          <w:lang w:val="ca-ES"/>
        </w:rPr>
        <w:t> NO obligat per normativa</w:t>
      </w:r>
      <w:r w:rsidRPr="005B5A48">
        <w:rPr>
          <w:rFonts w:ascii="Arial" w:eastAsia="Calibri" w:hAnsi="Arial"/>
          <w:color w:val="000000"/>
          <w:sz w:val="22"/>
          <w:szCs w:val="22"/>
          <w:lang w:val="ca-ES"/>
        </w:rPr>
        <w:tab/>
      </w:r>
    </w:p>
    <w:p w14:paraId="696A349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A6FB64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Que reuneix algun/s dels criteris de preferència en cas d’igualació de proposicions previstos al PCAP. </w:t>
      </w:r>
    </w:p>
    <w:p w14:paraId="1AAFC710"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 SÍ</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 NO</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6474766B"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62EFDD4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708068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Respecte l’Impost sobre el valor afegit (IVA) l’empresa: </w:t>
      </w:r>
    </w:p>
    <w:p w14:paraId="79EED21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Està subjecta a l’IVA.</w:t>
      </w:r>
    </w:p>
    <w:p w14:paraId="59FF8C6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Està no subjecta o exempta de l’IVA i són vigents les circumstàncies que donaren lloc a la  no-subjecció o l’exempció.</w:t>
      </w:r>
    </w:p>
    <w:p w14:paraId="3BBA64F2"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8BF78B8"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Respecte l’Impost d’Activitats Econòmiques (IAE) l’empresa:</w:t>
      </w:r>
    </w:p>
    <w:p w14:paraId="64871EC2"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Està subjecta a l’IAE.</w:t>
      </w:r>
    </w:p>
    <w:p w14:paraId="2EB3D251"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Està no subjecta o exempta de l’IAE i són vigents les circumstàncies que donaren lloc a la no-subjecció o l’exempció.</w:t>
      </w:r>
    </w:p>
    <w:p w14:paraId="43983F19"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2B97B79"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Que, en cas que el licitador tingui intenció de concórrer en unió temporal d’empreses, declara:</w:t>
      </w:r>
    </w:p>
    <w:p w14:paraId="60C29F2E"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 SÍ té intenció de concórrer en unió temporal d’empreses:</w:t>
      </w:r>
    </w:p>
    <w:p w14:paraId="256199D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(indicar noms i circumstàncies dels integrants i la participació de cadascun, així com l’assumpció del compromís de constituir-se formalment en unió temporal en cas de resultar adjudicataris)</w:t>
      </w:r>
    </w:p>
    <w:p w14:paraId="2C5725FF"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NO té intenció de concórrer en unió temporal d’empreses</w:t>
      </w:r>
    </w:p>
    <w:p w14:paraId="2659622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4E176D0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Es designa com a persona/es autoritzada/es per a rebre l’avís de les notificacions, comunicacions i requeriments per mitjans electrònics a:  </w:t>
      </w:r>
    </w:p>
    <w:p w14:paraId="73BF615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Persona/es autoritzada/es*</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t>DNI*</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10071E3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Correu electrònic professional*</w:t>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t>Mòbil</w:t>
      </w:r>
      <w:r w:rsidRPr="005B5A48">
        <w:rPr>
          <w:rFonts w:ascii="Arial" w:eastAsia="Calibri" w:hAnsi="Arial"/>
          <w:color w:val="000000"/>
          <w:sz w:val="22"/>
          <w:szCs w:val="22"/>
          <w:lang w:val="ca-ES"/>
        </w:rPr>
        <w:tab/>
        <w:t>professional</w:t>
      </w:r>
    </w:p>
    <w:p w14:paraId="7C1F7135"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r>
      <w:r w:rsidRPr="005B5A48">
        <w:rPr>
          <w:rFonts w:ascii="Arial" w:eastAsia="Calibri" w:hAnsi="Arial"/>
          <w:color w:val="000000"/>
          <w:sz w:val="22"/>
          <w:szCs w:val="22"/>
          <w:lang w:val="ca-ES"/>
        </w:rPr>
        <w:tab/>
      </w:r>
    </w:p>
    <w:p w14:paraId="5D46EBCC"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ab/>
        <w:t>*Camps obligatoris.</w:t>
      </w:r>
    </w:p>
    <w:p w14:paraId="04D0E088"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C4278B4"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7D1D6D2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Si l’adreça electrònica o el número de telèfon mòbil facilitats a efectes d’avís de notificació, comunicacions i requeriments quedessin en desús, s’haurà de comunicar la dita circumstància, per escrit, a la Diputació de Barcelona/Organisme per tal de fer la modificació corresponent.</w:t>
      </w:r>
    </w:p>
    <w:p w14:paraId="6CF244BE"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25440E5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El licitador/contractista declara que ha obtingut el consentiment exprés de les persones a qui autoritza per rebre les notificacions, comunicacions i requeriments derivades d’aquesta contractació, per tal que l’Ajuntament pugui facilitar-les al servei e-Notum a aquests efectes.</w:t>
      </w:r>
    </w:p>
    <w:p w14:paraId="3EE7911A"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54B65654"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w:t>
      </w:r>
      <w:r w:rsidRPr="005B5A48">
        <w:rPr>
          <w:rFonts w:ascii="Arial" w:eastAsia="Calibri" w:hAnsi="Arial"/>
          <w:color w:val="000000"/>
          <w:sz w:val="22"/>
          <w:szCs w:val="22"/>
          <w:lang w:val="ca-ES"/>
        </w:rPr>
        <w:tab/>
        <w:t xml:space="preserve">Que, en el cas que formulin ofertes empreses vinculades, el grup empresarial a què pertanyen és (indicar les empreses que el composen). </w:t>
      </w:r>
    </w:p>
    <w:p w14:paraId="721AC415"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7E1453B"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lastRenderedPageBreak/>
        <w:t>-</w:t>
      </w:r>
      <w:r w:rsidRPr="005B5A48">
        <w:rPr>
          <w:rFonts w:ascii="Arial" w:eastAsia="Calibri" w:hAnsi="Arial"/>
          <w:color w:val="000000"/>
          <w:sz w:val="22"/>
          <w:szCs w:val="22"/>
          <w:lang w:val="ca-ES"/>
        </w:rPr>
        <w:tab/>
        <w:t>Que, cas de resultar proposat com a adjudicatari, es compromet a aportar la documentació assenyalada en la clàusula 1.18) del PCAP.</w:t>
      </w:r>
    </w:p>
    <w:p w14:paraId="6829959D" w14:textId="77777777" w:rsidR="005B5A48" w:rsidRPr="005B5A48" w:rsidRDefault="005B5A48" w:rsidP="005B5A48">
      <w:pPr>
        <w:autoSpaceDE/>
        <w:autoSpaceDN/>
        <w:adjustRightInd/>
        <w:jc w:val="both"/>
        <w:rPr>
          <w:rFonts w:ascii="Arial" w:eastAsia="Calibri" w:hAnsi="Arial"/>
          <w:color w:val="000000"/>
          <w:sz w:val="22"/>
          <w:szCs w:val="22"/>
          <w:lang w:val="ca-ES"/>
        </w:rPr>
      </w:pPr>
      <w:r w:rsidRPr="005B5A48">
        <w:rPr>
          <w:rFonts w:ascii="Arial" w:eastAsia="Calibri" w:hAnsi="Arial"/>
          <w:color w:val="000000"/>
          <w:sz w:val="22"/>
          <w:szCs w:val="22"/>
          <w:lang w:val="ca-ES"/>
        </w:rPr>
        <w:t>(Data i signatura)."</w:t>
      </w:r>
    </w:p>
    <w:p w14:paraId="1E5D962F" w14:textId="77777777" w:rsidR="005B5A48" w:rsidRPr="005B5A48" w:rsidRDefault="005B5A48" w:rsidP="005B5A48">
      <w:pPr>
        <w:autoSpaceDE/>
        <w:autoSpaceDN/>
        <w:adjustRightInd/>
        <w:jc w:val="both"/>
        <w:rPr>
          <w:rFonts w:ascii="Arial" w:eastAsia="Calibri" w:hAnsi="Arial"/>
          <w:color w:val="000000"/>
          <w:sz w:val="22"/>
          <w:szCs w:val="22"/>
          <w:lang w:val="ca-ES"/>
        </w:rPr>
      </w:pPr>
    </w:p>
    <w:p w14:paraId="07573D01"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38CBFE1F"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04E0ABEE"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3A307392"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6FCE8506"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60D220FA"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784802F0"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7DA5B582"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59313409"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4FA62831"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3460C15C" w14:textId="77777777" w:rsidR="005B5A48" w:rsidRPr="005B5A48" w:rsidRDefault="005B5A48" w:rsidP="005B5A48">
      <w:pPr>
        <w:autoSpaceDE/>
        <w:autoSpaceDN/>
        <w:adjustRightInd/>
        <w:spacing w:after="200" w:line="276" w:lineRule="auto"/>
        <w:rPr>
          <w:rFonts w:ascii="Arial" w:eastAsia="Calibri" w:hAnsi="Arial" w:cs="Arial"/>
          <w:color w:val="000000"/>
          <w:sz w:val="22"/>
          <w:szCs w:val="22"/>
          <w:lang w:val="es-ES"/>
        </w:rPr>
      </w:pPr>
    </w:p>
    <w:p w14:paraId="583B265D" w14:textId="77777777" w:rsidR="005B5A48" w:rsidRDefault="005B5A48">
      <w:pPr>
        <w:rPr>
          <w:rFonts w:ascii="Calibri" w:hAnsi="Calibri" w:cs="Calibri"/>
          <w:b/>
          <w:bCs/>
        </w:rPr>
      </w:pPr>
    </w:p>
    <w:sectPr w:rsidR="005B5A48">
      <w:headerReference w:type="default" r:id="rId7"/>
      <w:footerReference w:type="default" r:id="rId8"/>
      <w:pgSz w:w="11907" w:h="16840"/>
      <w:pgMar w:top="1985" w:right="1474" w:bottom="1701" w:left="1985" w:header="851" w:footer="11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0F83D" w14:textId="77777777" w:rsidR="00EC05EA" w:rsidRDefault="00EC05EA">
      <w:r>
        <w:separator/>
      </w:r>
    </w:p>
  </w:endnote>
  <w:endnote w:type="continuationSeparator" w:id="0">
    <w:p w14:paraId="7E788934" w14:textId="77777777" w:rsidR="00EC05EA" w:rsidRDefault="00EC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A9DA" w14:textId="77777777" w:rsidR="00D3715C" w:rsidRDefault="005B5A4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47"/>
      </w:tabs>
      <w:rPr>
        <w:rFonts w:ascii="Calibri" w:hAnsi="Calibri" w:cs="Calibri"/>
        <w:sz w:val="20"/>
        <w:szCs w:val="20"/>
      </w:rPr>
    </w:pPr>
    <w:r>
      <w:rPr>
        <w:rFonts w:ascii="Calibri" w:hAnsi="Calibri" w:cs="Calibri"/>
        <w:sz w:val="20"/>
        <w:szCs w:val="20"/>
      </w:rPr>
      <w:t>CODI DE L’EXPEDIENT: 35  NOM DE L’EXPEDIENT: 2024_35_LICITACIO OBRES MILLORA DE DIVERSOS CAMINS DEL MUNICIPI DE SOBREMUNT</w:t>
    </w:r>
  </w:p>
  <w:p w14:paraId="1322A9DB" w14:textId="77777777" w:rsidR="00D3715C" w:rsidRDefault="00D3715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447"/>
      </w:tabs>
      <w:rPr>
        <w:rFonts w:ascii="Calibri" w:hAnsi="Calibri" w:cs="Calibri"/>
        <w:sz w:val="20"/>
        <w:szCs w:val="20"/>
      </w:rPr>
    </w:pPr>
  </w:p>
  <w:p w14:paraId="1322A9DC" w14:textId="77777777" w:rsidR="00D3715C" w:rsidRDefault="005B5A48">
    <w:pPr>
      <w:widowControl w:val="0"/>
      <w:tabs>
        <w:tab w:val="center" w:pos="4252"/>
        <w:tab w:val="right" w:pos="8448"/>
      </w:tabs>
      <w:rPr>
        <w:rFonts w:ascii="Arial" w:hAnsi="Arial" w:cs="Arial"/>
        <w:color w:val="000000"/>
        <w:sz w:val="16"/>
        <w:szCs w:val="16"/>
      </w:rPr>
    </w:pPr>
    <w:r>
      <w:rPr>
        <w:rFonts w:ascii="Arial" w:hAnsi="Arial" w:cs="Arial"/>
        <w:color w:val="000000"/>
        <w:sz w:val="16"/>
        <w:szCs w:val="16"/>
      </w:rPr>
      <w:t>Cal Tic.- 08589 Sobremunt (Barcelona)</w:t>
    </w:r>
  </w:p>
  <w:p w14:paraId="1322A9DD" w14:textId="77777777" w:rsidR="00D3715C" w:rsidRDefault="005B5A48">
    <w:pPr>
      <w:widowControl w:val="0"/>
      <w:pBdr>
        <w:top w:val="single" w:sz="4" w:space="1" w:color="auto"/>
      </w:pBdr>
      <w:tabs>
        <w:tab w:val="center" w:pos="4252"/>
        <w:tab w:val="right" w:pos="8448"/>
      </w:tabs>
      <w:rPr>
        <w:rFonts w:ascii="Arial" w:hAnsi="Arial" w:cs="Arial"/>
        <w:color w:val="000000"/>
        <w:sz w:val="16"/>
        <w:szCs w:val="16"/>
      </w:rPr>
    </w:pPr>
    <w:r>
      <w:rPr>
        <w:rFonts w:ascii="Arial" w:hAnsi="Arial" w:cs="Arial"/>
        <w:color w:val="000000"/>
        <w:sz w:val="16"/>
        <w:szCs w:val="16"/>
      </w:rPr>
      <w:t>Telèfon: 938527071 – Fax: 938527071  E-mail: sobremunt@diba.cat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B295B8" w14:textId="77777777" w:rsidR="00EC05EA" w:rsidRDefault="00EC05EA">
      <w:r>
        <w:separator/>
      </w:r>
    </w:p>
  </w:footnote>
  <w:footnote w:type="continuationSeparator" w:id="0">
    <w:p w14:paraId="0372C2A4" w14:textId="77777777" w:rsidR="00EC05EA" w:rsidRDefault="00EC05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A9D7" w14:textId="385AD8E8" w:rsidR="00D3715C" w:rsidRDefault="005F4915">
    <w:pPr>
      <w:widowControl w:val="0"/>
      <w:tabs>
        <w:tab w:val="center" w:pos="4252"/>
        <w:tab w:val="right" w:pos="8448"/>
      </w:tabs>
      <w:rPr>
        <w:rFonts w:ascii="Courier New" w:hAnsi="Courier New" w:cs="Courier New"/>
        <w:b/>
        <w:bCs/>
        <w:i/>
        <w:iCs/>
        <w:color w:val="808080"/>
        <w:sz w:val="28"/>
        <w:szCs w:val="28"/>
      </w:rPr>
    </w:pPr>
    <w:r>
      <w:rPr>
        <w:rFonts w:ascii="Courier New" w:hAnsi="Courier New" w:cs="Courier New"/>
        <w:b/>
        <w:bCs/>
        <w:i/>
        <w:iCs/>
        <w:noProof/>
        <w:color w:val="808080"/>
        <w:sz w:val="28"/>
        <w:szCs w:val="28"/>
      </w:rPr>
      <w:drawing>
        <wp:anchor distT="0" distB="0" distL="0" distR="0" simplePos="0" relativeHeight="251658240" behindDoc="0" locked="0" layoutInCell="1" allowOverlap="1" wp14:anchorId="1322A9DE" wp14:editId="406D336E">
          <wp:simplePos x="0" y="0"/>
          <wp:positionH relativeFrom="column">
            <wp:posOffset>0</wp:posOffset>
          </wp:positionH>
          <wp:positionV relativeFrom="paragraph">
            <wp:posOffset>0</wp:posOffset>
          </wp:positionV>
          <wp:extent cx="914400" cy="1040765"/>
          <wp:effectExtent l="0" t="0" r="0" b="0"/>
          <wp:wrapSquare wrapText="bothSides"/>
          <wp:docPr id="1025" name="_tx_id_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tx_id_1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1040765"/>
                  </a:xfrm>
                  <a:prstGeom prst="rect">
                    <a:avLst/>
                  </a:prstGeom>
                  <a:noFill/>
                </pic:spPr>
              </pic:pic>
            </a:graphicData>
          </a:graphic>
          <wp14:sizeRelH relativeFrom="page">
            <wp14:pctWidth>0</wp14:pctWidth>
          </wp14:sizeRelH>
          <wp14:sizeRelV relativeFrom="page">
            <wp14:pctHeight>0</wp14:pctHeight>
          </wp14:sizeRelV>
        </wp:anchor>
      </w:drawing>
    </w:r>
  </w:p>
  <w:p w14:paraId="1322A9D8" w14:textId="77777777" w:rsidR="00D3715C" w:rsidRDefault="005B5A48">
    <w:pPr>
      <w:widowControl w:val="0"/>
      <w:tabs>
        <w:tab w:val="center" w:pos="4252"/>
        <w:tab w:val="right" w:pos="8448"/>
      </w:tabs>
      <w:jc w:val="right"/>
      <w:rPr>
        <w:rFonts w:ascii="Arial" w:hAnsi="Arial" w:cs="Arial"/>
        <w:b/>
        <w:bCs/>
        <w:i/>
        <w:iCs/>
        <w:color w:val="000000"/>
        <w:sz w:val="28"/>
        <w:szCs w:val="28"/>
      </w:rPr>
    </w:pPr>
    <w:r>
      <w:rPr>
        <w:rFonts w:ascii="Arial" w:hAnsi="Arial" w:cs="Arial"/>
        <w:b/>
        <w:bCs/>
        <w:i/>
        <w:iCs/>
        <w:color w:val="000000"/>
        <w:sz w:val="28"/>
        <w:szCs w:val="28"/>
      </w:rPr>
      <w:t>Ajuntament de Sobremunt</w:t>
    </w:r>
  </w:p>
  <w:p w14:paraId="1322A9D9" w14:textId="77777777" w:rsidR="00D3715C" w:rsidRDefault="00D3715C">
    <w:pPr>
      <w:widowControl w:val="0"/>
      <w:tabs>
        <w:tab w:val="center" w:pos="4252"/>
        <w:tab w:val="right" w:pos="8448"/>
      </w:tabs>
      <w:rPr>
        <w:rFonts w:ascii="Arial" w:hAnsi="Arial" w:cs="Arial"/>
        <w:b/>
        <w:bCs/>
        <w:i/>
        <w:iCs/>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66495"/>
    <w:multiLevelType w:val="hybridMultilevel"/>
    <w:tmpl w:val="C5DAF96C"/>
    <w:lvl w:ilvl="0" w:tplc="599E769A">
      <w:numFmt w:val="bullet"/>
      <w:lvlText w:val="-"/>
      <w:lvlJc w:val="left"/>
      <w:pPr>
        <w:ind w:left="947" w:hanging="128"/>
      </w:pPr>
      <w:rPr>
        <w:rFonts w:ascii="Calibri" w:eastAsia="Calibri" w:hAnsi="Calibri" w:cs="Calibri" w:hint="default"/>
        <w:w w:val="100"/>
        <w:sz w:val="24"/>
        <w:szCs w:val="24"/>
        <w:lang w:val="ca-ES" w:eastAsia="en-US" w:bidi="ar-SA"/>
      </w:rPr>
    </w:lvl>
    <w:lvl w:ilvl="1" w:tplc="8BCEDB6E">
      <w:numFmt w:val="bullet"/>
      <w:lvlText w:val="•"/>
      <w:lvlJc w:val="left"/>
      <w:pPr>
        <w:ind w:left="1818" w:hanging="128"/>
      </w:pPr>
      <w:rPr>
        <w:rFonts w:hint="default"/>
        <w:lang w:val="ca-ES" w:eastAsia="en-US" w:bidi="ar-SA"/>
      </w:rPr>
    </w:lvl>
    <w:lvl w:ilvl="2" w:tplc="85C08532">
      <w:numFmt w:val="bullet"/>
      <w:lvlText w:val="•"/>
      <w:lvlJc w:val="left"/>
      <w:pPr>
        <w:ind w:left="2697" w:hanging="128"/>
      </w:pPr>
      <w:rPr>
        <w:rFonts w:hint="default"/>
        <w:lang w:val="ca-ES" w:eastAsia="en-US" w:bidi="ar-SA"/>
      </w:rPr>
    </w:lvl>
    <w:lvl w:ilvl="3" w:tplc="66A89AD8">
      <w:numFmt w:val="bullet"/>
      <w:lvlText w:val="•"/>
      <w:lvlJc w:val="left"/>
      <w:pPr>
        <w:ind w:left="3575" w:hanging="128"/>
      </w:pPr>
      <w:rPr>
        <w:rFonts w:hint="default"/>
        <w:lang w:val="ca-ES" w:eastAsia="en-US" w:bidi="ar-SA"/>
      </w:rPr>
    </w:lvl>
    <w:lvl w:ilvl="4" w:tplc="D67E471A">
      <w:numFmt w:val="bullet"/>
      <w:lvlText w:val="•"/>
      <w:lvlJc w:val="left"/>
      <w:pPr>
        <w:ind w:left="4454" w:hanging="128"/>
      </w:pPr>
      <w:rPr>
        <w:rFonts w:hint="default"/>
        <w:lang w:val="ca-ES" w:eastAsia="en-US" w:bidi="ar-SA"/>
      </w:rPr>
    </w:lvl>
    <w:lvl w:ilvl="5" w:tplc="0D92EDAE">
      <w:numFmt w:val="bullet"/>
      <w:lvlText w:val="•"/>
      <w:lvlJc w:val="left"/>
      <w:pPr>
        <w:ind w:left="5333" w:hanging="128"/>
      </w:pPr>
      <w:rPr>
        <w:rFonts w:hint="default"/>
        <w:lang w:val="ca-ES" w:eastAsia="en-US" w:bidi="ar-SA"/>
      </w:rPr>
    </w:lvl>
    <w:lvl w:ilvl="6" w:tplc="DD2ED5C6">
      <w:numFmt w:val="bullet"/>
      <w:lvlText w:val="•"/>
      <w:lvlJc w:val="left"/>
      <w:pPr>
        <w:ind w:left="6211" w:hanging="128"/>
      </w:pPr>
      <w:rPr>
        <w:rFonts w:hint="default"/>
        <w:lang w:val="ca-ES" w:eastAsia="en-US" w:bidi="ar-SA"/>
      </w:rPr>
    </w:lvl>
    <w:lvl w:ilvl="7" w:tplc="953468A4">
      <w:numFmt w:val="bullet"/>
      <w:lvlText w:val="•"/>
      <w:lvlJc w:val="left"/>
      <w:pPr>
        <w:ind w:left="7090" w:hanging="128"/>
      </w:pPr>
      <w:rPr>
        <w:rFonts w:hint="default"/>
        <w:lang w:val="ca-ES" w:eastAsia="en-US" w:bidi="ar-SA"/>
      </w:rPr>
    </w:lvl>
    <w:lvl w:ilvl="8" w:tplc="CB9A733C">
      <w:numFmt w:val="bullet"/>
      <w:lvlText w:val="•"/>
      <w:lvlJc w:val="left"/>
      <w:pPr>
        <w:ind w:left="7969" w:hanging="128"/>
      </w:pPr>
      <w:rPr>
        <w:rFonts w:hint="default"/>
        <w:lang w:val="ca-ES" w:eastAsia="en-US" w:bidi="ar-SA"/>
      </w:rPr>
    </w:lvl>
  </w:abstractNum>
  <w:num w:numId="1" w16cid:durableId="1253666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134"/>
  <w:hyphenationZone w:val="425"/>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15C"/>
    <w:rsid w:val="005B5A48"/>
    <w:rsid w:val="005F4915"/>
    <w:rsid w:val="00D3715C"/>
    <w:rsid w:val="00E22977"/>
    <w:rsid w:val="00EC05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22A9AE"/>
  <w15:docId w15:val="{386E0260-3B9D-4E25-9FCC-764E5CAB8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pPr>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1">
    <w:name w:val="Encabezado1"/>
    <w:basedOn w:val="Normal"/>
    <w:uiPriority w:val="99"/>
    <w:pPr>
      <w:tabs>
        <w:tab w:val="center" w:pos="4513"/>
        <w:tab w:val="right" w:pos="9026"/>
      </w:tabs>
    </w:pPr>
  </w:style>
  <w:style w:type="paragraph" w:customStyle="1" w:styleId="Encabezado14">
    <w:name w:val="Encabezado14"/>
    <w:basedOn w:val="Normal"/>
    <w:uiPriority w:val="99"/>
    <w:pPr>
      <w:tabs>
        <w:tab w:val="center" w:pos="4513"/>
        <w:tab w:val="right" w:pos="9026"/>
      </w:tabs>
    </w:pPr>
  </w:style>
  <w:style w:type="paragraph" w:customStyle="1" w:styleId="Encabezado13">
    <w:name w:val="Encabezado13"/>
    <w:basedOn w:val="Normal"/>
    <w:uiPriority w:val="99"/>
    <w:pPr>
      <w:tabs>
        <w:tab w:val="center" w:pos="4513"/>
        <w:tab w:val="right" w:pos="9026"/>
      </w:tabs>
    </w:pPr>
  </w:style>
  <w:style w:type="paragraph" w:customStyle="1" w:styleId="Encabezado12">
    <w:name w:val="Encabezado12"/>
    <w:basedOn w:val="Normal"/>
    <w:uiPriority w:val="99"/>
    <w:pPr>
      <w:tabs>
        <w:tab w:val="center" w:pos="4513"/>
        <w:tab w:val="right" w:pos="9026"/>
      </w:tabs>
    </w:pPr>
  </w:style>
  <w:style w:type="paragraph" w:customStyle="1" w:styleId="Encabezado2">
    <w:name w:val="Encabezado2"/>
    <w:basedOn w:val="Normal"/>
    <w:uiPriority w:val="99"/>
    <w:pPr>
      <w:tabs>
        <w:tab w:val="center" w:pos="4320"/>
        <w:tab w:val="right" w:pos="8640"/>
      </w:tabs>
    </w:pPr>
  </w:style>
  <w:style w:type="paragraph" w:customStyle="1" w:styleId="Encabezado11">
    <w:name w:val="Encabezado11"/>
    <w:basedOn w:val="Normal"/>
    <w:uiPriority w:val="99"/>
    <w:pPr>
      <w:tabs>
        <w:tab w:val="center" w:pos="4513"/>
        <w:tab w:val="right" w:pos="9026"/>
      </w:tabs>
    </w:pPr>
  </w:style>
  <w:style w:type="paragraph" w:customStyle="1" w:styleId="Encabezado10">
    <w:name w:val="Encabezado10"/>
    <w:basedOn w:val="Normal"/>
    <w:uiPriority w:val="99"/>
    <w:pPr>
      <w:tabs>
        <w:tab w:val="center" w:pos="4513"/>
        <w:tab w:val="right" w:pos="9026"/>
      </w:tabs>
    </w:pPr>
  </w:style>
  <w:style w:type="paragraph" w:customStyle="1" w:styleId="Encabezado9">
    <w:name w:val="Encabezado9"/>
    <w:basedOn w:val="Normal"/>
    <w:uiPriority w:val="99"/>
    <w:pPr>
      <w:tabs>
        <w:tab w:val="center" w:pos="4513"/>
        <w:tab w:val="right" w:pos="9026"/>
      </w:tabs>
    </w:pPr>
  </w:style>
  <w:style w:type="paragraph" w:customStyle="1" w:styleId="Encabezado8">
    <w:name w:val="Encabezado8"/>
    <w:basedOn w:val="Normal"/>
    <w:uiPriority w:val="99"/>
    <w:pPr>
      <w:tabs>
        <w:tab w:val="center" w:pos="4513"/>
        <w:tab w:val="right" w:pos="9026"/>
      </w:tabs>
    </w:pPr>
  </w:style>
  <w:style w:type="paragraph" w:customStyle="1" w:styleId="Encabezado7">
    <w:name w:val="Encabezado7"/>
    <w:basedOn w:val="Normal"/>
    <w:uiPriority w:val="99"/>
    <w:pPr>
      <w:tabs>
        <w:tab w:val="center" w:pos="4513"/>
        <w:tab w:val="right" w:pos="9026"/>
      </w:tabs>
    </w:pPr>
  </w:style>
  <w:style w:type="paragraph" w:customStyle="1" w:styleId="Encabezado6">
    <w:name w:val="Encabezado6"/>
    <w:basedOn w:val="Normal"/>
    <w:uiPriority w:val="99"/>
    <w:pPr>
      <w:tabs>
        <w:tab w:val="center" w:pos="4513"/>
        <w:tab w:val="right" w:pos="9026"/>
      </w:tabs>
    </w:pPr>
  </w:style>
  <w:style w:type="paragraph" w:customStyle="1" w:styleId="Encabezado5">
    <w:name w:val="Encabezado5"/>
    <w:basedOn w:val="Normal"/>
    <w:uiPriority w:val="99"/>
    <w:pPr>
      <w:tabs>
        <w:tab w:val="center" w:pos="4320"/>
        <w:tab w:val="right" w:pos="8640"/>
      </w:tabs>
    </w:pPr>
  </w:style>
  <w:style w:type="paragraph" w:customStyle="1" w:styleId="Piedepgina2">
    <w:name w:val="Pie de página2"/>
    <w:basedOn w:val="Normal"/>
    <w:uiPriority w:val="99"/>
    <w:pPr>
      <w:tabs>
        <w:tab w:val="center" w:pos="4320"/>
        <w:tab w:val="right" w:pos="8640"/>
      </w:tabs>
    </w:pPr>
  </w:style>
  <w:style w:type="paragraph" w:customStyle="1" w:styleId="Encabezado4">
    <w:name w:val="Encabezado4"/>
    <w:basedOn w:val="Normal"/>
    <w:uiPriority w:val="99"/>
    <w:pPr>
      <w:tabs>
        <w:tab w:val="center" w:pos="4320"/>
        <w:tab w:val="right" w:pos="8640"/>
      </w:tabs>
    </w:pPr>
  </w:style>
  <w:style w:type="paragraph" w:customStyle="1" w:styleId="Encabezado3">
    <w:name w:val="Encabezado3"/>
    <w:basedOn w:val="Normal"/>
    <w:uiPriority w:val="99"/>
    <w:pPr>
      <w:tabs>
        <w:tab w:val="center" w:pos="4320"/>
        <w:tab w:val="right" w:pos="8640"/>
      </w:tabs>
    </w:pPr>
  </w:style>
  <w:style w:type="paragraph" w:customStyle="1" w:styleId="Encabezado15">
    <w:name w:val="Encabezado1"/>
    <w:basedOn w:val="Normal"/>
    <w:uiPriority w:val="99"/>
    <w:pPr>
      <w:tabs>
        <w:tab w:val="center" w:pos="4320"/>
        <w:tab w:val="right" w:pos="8640"/>
      </w:tabs>
    </w:pPr>
  </w:style>
  <w:style w:type="paragraph" w:customStyle="1" w:styleId="Piedepgina1">
    <w:name w:val="Pie de página1"/>
    <w:basedOn w:val="Normal"/>
    <w:uiPriority w:val="99"/>
    <w:pPr>
      <w:tabs>
        <w:tab w:val="center" w:pos="4320"/>
        <w:tab w:val="right" w:pos="8640"/>
      </w:tabs>
    </w:pPr>
  </w:style>
  <w:style w:type="paragraph" w:customStyle="1" w:styleId="Piedepgina3">
    <w:name w:val="Pie de página3"/>
    <w:basedOn w:val="Normal"/>
    <w:uiPriority w:val="99"/>
    <w:pPr>
      <w:tabs>
        <w:tab w:val="center" w:pos="4320"/>
        <w:tab w:val="right" w:pos="8640"/>
      </w:tabs>
    </w:pPr>
  </w:style>
  <w:style w:type="paragraph" w:customStyle="1" w:styleId="Piedepgina4">
    <w:name w:val="Pie de página4"/>
    <w:basedOn w:val="Normal"/>
    <w:uiPriority w:val="99"/>
    <w:pPr>
      <w:tabs>
        <w:tab w:val="center" w:pos="4320"/>
        <w:tab w:val="right" w:pos="8640"/>
      </w:tabs>
    </w:pPr>
  </w:style>
  <w:style w:type="paragraph" w:customStyle="1" w:styleId="Piedepgina5">
    <w:name w:val="Pie de página5"/>
    <w:basedOn w:val="Normal"/>
    <w:uiPriority w:val="99"/>
    <w:pPr>
      <w:tabs>
        <w:tab w:val="center" w:pos="4320"/>
        <w:tab w:val="right" w:pos="8640"/>
      </w:tabs>
    </w:pPr>
  </w:style>
  <w:style w:type="paragraph" w:customStyle="1" w:styleId="Piedepgina6">
    <w:name w:val="Pie de página6"/>
    <w:basedOn w:val="Normal"/>
    <w:uiPriority w:val="99"/>
    <w:pPr>
      <w:tabs>
        <w:tab w:val="center" w:pos="4513"/>
        <w:tab w:val="right" w:pos="9026"/>
      </w:tabs>
    </w:pPr>
  </w:style>
  <w:style w:type="paragraph" w:customStyle="1" w:styleId="Piedepgina7">
    <w:name w:val="Pie de página7"/>
    <w:basedOn w:val="Normal"/>
    <w:uiPriority w:val="99"/>
    <w:pPr>
      <w:tabs>
        <w:tab w:val="center" w:pos="4513"/>
        <w:tab w:val="right" w:pos="9026"/>
      </w:tabs>
    </w:pPr>
  </w:style>
  <w:style w:type="paragraph" w:customStyle="1" w:styleId="Piedepgina8">
    <w:name w:val="Pie de página8"/>
    <w:basedOn w:val="Normal"/>
    <w:uiPriority w:val="99"/>
    <w:pPr>
      <w:tabs>
        <w:tab w:val="center" w:pos="4513"/>
        <w:tab w:val="right" w:pos="9026"/>
      </w:tabs>
    </w:pPr>
  </w:style>
  <w:style w:type="paragraph" w:customStyle="1" w:styleId="Piedepgina9">
    <w:name w:val="Pie de página9"/>
    <w:basedOn w:val="Normal"/>
    <w:uiPriority w:val="99"/>
    <w:pPr>
      <w:tabs>
        <w:tab w:val="center" w:pos="4513"/>
        <w:tab w:val="right" w:pos="9026"/>
      </w:tabs>
    </w:pPr>
  </w:style>
  <w:style w:type="paragraph" w:customStyle="1" w:styleId="Piedepgina10">
    <w:name w:val="Pie de página10"/>
    <w:basedOn w:val="Normal"/>
    <w:uiPriority w:val="99"/>
    <w:pPr>
      <w:tabs>
        <w:tab w:val="center" w:pos="4513"/>
        <w:tab w:val="right" w:pos="9026"/>
      </w:tabs>
    </w:pPr>
  </w:style>
  <w:style w:type="paragraph" w:customStyle="1" w:styleId="Piedepgina11">
    <w:name w:val="Pie de página11"/>
    <w:basedOn w:val="Normal"/>
    <w:uiPriority w:val="99"/>
    <w:pPr>
      <w:tabs>
        <w:tab w:val="center" w:pos="4513"/>
        <w:tab w:val="right" w:pos="9026"/>
      </w:tabs>
    </w:pPr>
  </w:style>
  <w:style w:type="paragraph" w:customStyle="1" w:styleId="Piedepgina12">
    <w:name w:val="Pie de página12"/>
    <w:basedOn w:val="Normal"/>
    <w:uiPriority w:val="99"/>
    <w:pPr>
      <w:tabs>
        <w:tab w:val="center" w:pos="4513"/>
        <w:tab w:val="right" w:pos="9026"/>
      </w:tabs>
    </w:pPr>
  </w:style>
  <w:style w:type="paragraph" w:customStyle="1" w:styleId="Piedepgina13">
    <w:name w:val="Pie de página13"/>
    <w:basedOn w:val="Normal"/>
    <w:uiPriority w:val="99"/>
    <w:pPr>
      <w:tabs>
        <w:tab w:val="center" w:pos="4513"/>
        <w:tab w:val="right" w:pos="9026"/>
      </w:tabs>
    </w:pPr>
  </w:style>
  <w:style w:type="paragraph" w:customStyle="1" w:styleId="Piedepgina14">
    <w:name w:val="Pie de página14"/>
    <w:basedOn w:val="Normal"/>
    <w:uiPriority w:val="99"/>
    <w:pPr>
      <w:tabs>
        <w:tab w:val="center" w:pos="4513"/>
        <w:tab w:val="right" w:pos="9026"/>
      </w:tabs>
    </w:pPr>
  </w:style>
  <w:style w:type="paragraph" w:customStyle="1" w:styleId="Piedepgina15">
    <w:name w:val="Pie de página15"/>
    <w:basedOn w:val="Normal"/>
    <w:uiPriority w:val="99"/>
    <w:pPr>
      <w:tabs>
        <w:tab w:val="center" w:pos="4513"/>
        <w:tab w:val="right" w:pos="9026"/>
      </w:tabs>
    </w:pPr>
  </w:style>
  <w:style w:type="character" w:customStyle="1" w:styleId="EncabezadoCarCar">
    <w:name w:val="Encabezado Car Car"/>
    <w:basedOn w:val="Fuentedeprrafopredeter"/>
    <w:uiPriority w:val="99"/>
    <w:rPr>
      <w:sz w:val="24"/>
      <w:szCs w:val="24"/>
    </w:rPr>
  </w:style>
  <w:style w:type="character" w:customStyle="1" w:styleId="PiedepginaCar">
    <w:name w:val="Pie de página Car"/>
    <w:basedOn w:val="Fuentedeprrafopredeter"/>
    <w:uiPriority w:val="99"/>
    <w:rPr>
      <w:sz w:val="24"/>
      <w:szCs w:val="24"/>
    </w:rPr>
  </w:style>
  <w:style w:type="character" w:customStyle="1" w:styleId="EncabezadoCar">
    <w:name w:val="Encabezado Car"/>
    <w:basedOn w:val="Fuentedeprrafopredeter"/>
    <w:uiPriority w:val="99"/>
    <w:rPr>
      <w:sz w:val="24"/>
      <w:szCs w:val="24"/>
    </w:rPr>
  </w:style>
  <w:style w:type="character" w:customStyle="1" w:styleId="PiedepginaCar1">
    <w:name w:val="Pie de página Car1"/>
    <w:basedOn w:val="Fuentedeprrafopredeter"/>
    <w:uiPriority w:val="99"/>
    <w:rPr>
      <w:sz w:val="24"/>
      <w:szCs w:val="24"/>
    </w:rPr>
  </w:style>
  <w:style w:type="character" w:customStyle="1" w:styleId="EncabezadoCar1">
    <w:name w:val="Encabezado Car1"/>
    <w:basedOn w:val="Fuentedeprrafopredeter"/>
    <w:uiPriority w:val="99"/>
    <w:rPr>
      <w:sz w:val="24"/>
      <w:szCs w:val="24"/>
    </w:rPr>
  </w:style>
  <w:style w:type="character" w:customStyle="1" w:styleId="PiedepginaCar2">
    <w:name w:val="Pie de página Car2"/>
    <w:basedOn w:val="Fuentedeprrafopredeter"/>
    <w:uiPriority w:val="99"/>
    <w:rPr>
      <w:sz w:val="24"/>
      <w:szCs w:val="24"/>
    </w:rPr>
  </w:style>
  <w:style w:type="character" w:customStyle="1" w:styleId="EncabezadoCar2">
    <w:name w:val="Encabezado Car2"/>
    <w:basedOn w:val="Fuentedeprrafopredeter"/>
    <w:uiPriority w:val="99"/>
    <w:rPr>
      <w:sz w:val="24"/>
      <w:szCs w:val="24"/>
    </w:rPr>
  </w:style>
  <w:style w:type="character" w:customStyle="1" w:styleId="PiedepginaCar3">
    <w:name w:val="Pie de página Car3"/>
    <w:basedOn w:val="Fuentedeprrafopredeter"/>
    <w:uiPriority w:val="99"/>
    <w:rPr>
      <w:sz w:val="24"/>
      <w:szCs w:val="24"/>
    </w:rPr>
  </w:style>
  <w:style w:type="character" w:customStyle="1" w:styleId="EncabezadoCar3">
    <w:name w:val="Encabezado Car3"/>
    <w:basedOn w:val="Fuentedeprrafopredeter"/>
    <w:uiPriority w:val="99"/>
    <w:rPr>
      <w:sz w:val="24"/>
      <w:szCs w:val="24"/>
    </w:rPr>
  </w:style>
  <w:style w:type="character" w:customStyle="1" w:styleId="PiedepginaCar4">
    <w:name w:val="Pie de página Car4"/>
    <w:basedOn w:val="Fuentedeprrafopredeter"/>
    <w:uiPriority w:val="99"/>
    <w:rPr>
      <w:sz w:val="24"/>
      <w:szCs w:val="24"/>
    </w:rPr>
  </w:style>
  <w:style w:type="character" w:customStyle="1" w:styleId="EncabezadoCar4">
    <w:name w:val="Encabezado Car4"/>
    <w:basedOn w:val="Fuentedeprrafopredeter"/>
    <w:uiPriority w:val="99"/>
    <w:rPr>
      <w:sz w:val="24"/>
      <w:szCs w:val="24"/>
    </w:rPr>
  </w:style>
  <w:style w:type="character" w:customStyle="1" w:styleId="PiedepginaCar5">
    <w:name w:val="Pie de página Car5"/>
    <w:basedOn w:val="Fuentedeprrafopredeter"/>
    <w:uiPriority w:val="99"/>
    <w:rPr>
      <w:sz w:val="24"/>
      <w:szCs w:val="24"/>
    </w:rPr>
  </w:style>
  <w:style w:type="character" w:customStyle="1" w:styleId="EncabezadoCar5">
    <w:name w:val="Encabezado Car5"/>
    <w:basedOn w:val="Fuentedeprrafopredeter"/>
    <w:uiPriority w:val="99"/>
    <w:rPr>
      <w:sz w:val="24"/>
      <w:szCs w:val="24"/>
    </w:rPr>
  </w:style>
  <w:style w:type="character" w:customStyle="1" w:styleId="PiedepginaCar6">
    <w:name w:val="Pie de página Car6"/>
    <w:basedOn w:val="Fuentedeprrafopredeter"/>
    <w:uiPriority w:val="99"/>
    <w:rPr>
      <w:sz w:val="24"/>
      <w:szCs w:val="24"/>
    </w:rPr>
  </w:style>
  <w:style w:type="character" w:customStyle="1" w:styleId="EncabezadoCar6">
    <w:name w:val="Encabezado Car6"/>
    <w:basedOn w:val="Fuentedeprrafopredeter"/>
    <w:uiPriority w:val="99"/>
    <w:rPr>
      <w:sz w:val="24"/>
      <w:szCs w:val="24"/>
    </w:rPr>
  </w:style>
  <w:style w:type="character" w:customStyle="1" w:styleId="PiedepginaCar7">
    <w:name w:val="Pie de página Car7"/>
    <w:basedOn w:val="Fuentedeprrafopredeter"/>
    <w:uiPriority w:val="99"/>
    <w:rPr>
      <w:sz w:val="24"/>
      <w:szCs w:val="24"/>
    </w:rPr>
  </w:style>
  <w:style w:type="character" w:customStyle="1" w:styleId="EncabezadoCar7">
    <w:name w:val="Encabezado Car7"/>
    <w:basedOn w:val="Fuentedeprrafopredeter"/>
    <w:uiPriority w:val="99"/>
    <w:rPr>
      <w:sz w:val="24"/>
      <w:szCs w:val="24"/>
    </w:rPr>
  </w:style>
  <w:style w:type="character" w:customStyle="1" w:styleId="PiedepginaCar8">
    <w:name w:val="Pie de página Car8"/>
    <w:basedOn w:val="Fuentedeprrafopredeter"/>
    <w:uiPriority w:val="99"/>
    <w:rPr>
      <w:sz w:val="24"/>
      <w:szCs w:val="24"/>
    </w:rPr>
  </w:style>
  <w:style w:type="character" w:customStyle="1" w:styleId="EncabezadoCar8">
    <w:name w:val="Encabezado Car8"/>
    <w:basedOn w:val="Fuentedeprrafopredeter"/>
    <w:uiPriority w:val="99"/>
    <w:rPr>
      <w:sz w:val="24"/>
      <w:szCs w:val="24"/>
    </w:rPr>
  </w:style>
  <w:style w:type="character" w:customStyle="1" w:styleId="PiedepginaCar9">
    <w:name w:val="Pie de página Car9"/>
    <w:basedOn w:val="Fuentedeprrafopredeter"/>
    <w:uiPriority w:val="99"/>
    <w:rPr>
      <w:sz w:val="24"/>
      <w:szCs w:val="24"/>
    </w:rPr>
  </w:style>
  <w:style w:type="character" w:customStyle="1" w:styleId="EncabezadoCar9">
    <w:name w:val="Encabezado Car9"/>
    <w:basedOn w:val="Fuentedeprrafopredeter"/>
    <w:uiPriority w:val="99"/>
    <w:rPr>
      <w:sz w:val="24"/>
      <w:szCs w:val="24"/>
    </w:rPr>
  </w:style>
  <w:style w:type="character" w:customStyle="1" w:styleId="PiedepginaCar10">
    <w:name w:val="Pie de página Car10"/>
    <w:basedOn w:val="Fuentedeprrafopredeter"/>
    <w:uiPriority w:val="9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5336</Words>
  <Characters>29354</Characters>
  <Application>Microsoft Office Word</Application>
  <DocSecurity>0</DocSecurity>
  <Lines>244</Lines>
  <Paragraphs>69</Paragraphs>
  <ScaleCrop>false</ScaleCrop>
  <Company/>
  <LinksUpToDate>false</LinksUpToDate>
  <CharactersWithSpaces>34621</CharactersWithSpaces>
  <SharedDoc>false</SharedDoc>
  <HyperlinkBase>C:\Users\SORIAGL\AppData\Local\Temp\1298\</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TÍTOL DEL DOCUMENT</dc:title>
  <dc:creator>aclaria</dc:creator>
  <cp:lastModifiedBy>AJ PRATS</cp:lastModifiedBy>
  <cp:revision>3</cp:revision>
  <dcterms:created xsi:type="dcterms:W3CDTF">2024-02-05T09:33:00Z</dcterms:created>
  <dcterms:modified xsi:type="dcterms:W3CDTF">2024-02-05T09:34:00Z</dcterms:modified>
</cp:coreProperties>
</file>