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86" w:rsidRDefault="000A1386" w:rsidP="000A1386">
      <w:pPr>
        <w:pStyle w:val="Standard"/>
        <w:pageBreakBefore/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ANNEX 2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A1386" w:rsidRDefault="000A1386" w:rsidP="000A1386">
      <w:pPr>
        <w:pStyle w:val="Standard"/>
        <w:widowControl w:val="0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MODEL OFERTA ECONÒMICA I/O CRITERIS AVALUABLES MITJANÇANT FÓRMULA O DE MANERA AUTOMÀTICA.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El/la Sr./Sra............................................................................................ amb residència </w:t>
      </w:r>
      <w:r>
        <w:rPr>
          <w:rFonts w:ascii="Arial" w:hAnsi="Arial" w:cs="Arial"/>
          <w:sz w:val="22"/>
        </w:rPr>
        <w:t xml:space="preserve">a ......................................., al carrer.................................número............, </w:t>
      </w:r>
      <w:r>
        <w:rPr>
          <w:rFonts w:ascii="Arial" w:hAnsi="Arial" w:cs="Arial"/>
          <w:color w:val="auto"/>
          <w:sz w:val="22"/>
          <w:szCs w:val="22"/>
        </w:rPr>
        <w:t>i amb DNI ......................... , en nom propi (o en representació de l’empresa ................................. , amb domicili a ..................................................., al carrer de ......................................, número ..............., i NIF...........................</w:t>
      </w:r>
      <w:r>
        <w:rPr>
          <w:rFonts w:ascii="Arial" w:hAnsi="Arial" w:cs="Arial"/>
          <w:sz w:val="22"/>
        </w:rPr>
        <w:t>,declara que, assabentat/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de les condicions i els requisits que s’exigeixen per poder ser l’empresa adjudicatària del contracte del servei de control de plagues als edificis municipals i a la via pública de Sant Adrià de Besòs (2308/2023), es compromet (en nom propi / en nom i representació de l’empresa) a executar-lo amb estricta subjecció als requisits i condicions estipulats, per la quantitat total de: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b/>
          <w:i/>
          <w:color w:val="00B0F0"/>
          <w:sz w:val="22"/>
          <w:u w:val="single"/>
        </w:rPr>
      </w:pPr>
      <w:r>
        <w:rPr>
          <w:rFonts w:ascii="Arial" w:hAnsi="Arial" w:cs="Arial"/>
          <w:b/>
          <w:i/>
          <w:color w:val="00B0F0"/>
          <w:sz w:val="22"/>
          <w:u w:val="single"/>
        </w:rPr>
        <w:t>Escollir lot i esborrar la resta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b/>
          <w:i/>
          <w:color w:val="00B0F0"/>
          <w:sz w:val="22"/>
          <w:u w:val="single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LOT 1: SERVEI DE CONTROL DE PLAGUES ALS EDIFICIS MUNICIPALS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Criteri únic: Oferta econòmica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190"/>
        <w:gridCol w:w="1307"/>
        <w:gridCol w:w="1307"/>
        <w:gridCol w:w="1416"/>
      </w:tblGrid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Serveis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Serveis previstos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Preu unitari  sense IVA (€)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Cost</w:t>
            </w:r>
          </w:p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sense IVA (€)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Cost</w:t>
            </w:r>
          </w:p>
          <w:p w:rsidR="000A1386" w:rsidRDefault="000A1386" w:rsidP="008D1784">
            <w:pPr>
              <w:pStyle w:val="Standard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amb IVA (€)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a. Control periòdics i atenció a incidències d’edificis municipals llistats a l’Annex I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  <w:p w:rsidR="000A1386" w:rsidRDefault="000A1386" w:rsidP="008D1784">
            <w:pPr>
              <w:pStyle w:val="Contenidodelatabla"/>
              <w:snapToGrid w:val="0"/>
              <w:spacing w:line="276" w:lineRule="auto"/>
              <w:rPr>
                <w:rFonts w:ascii="Calibri" w:hAnsi="Calibri" w:cs="Arial"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  107                          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rPr>
                <w:rFonts w:ascii="Calibri" w:hAnsi="Calibri" w:cs="Arial"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      </w:t>
            </w:r>
          </w:p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a. Controls a edificis no llistats a l’Annex I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sz w:val="21"/>
                <w:szCs w:val="21"/>
                <w:lang w:val="ca-ES"/>
              </w:rPr>
              <w:t>5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/>
        </w:tc>
        <w:tc>
          <w:tcPr>
            <w:tcW w:w="141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/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b. Actuacions extraordinàries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sz w:val="21"/>
                <w:szCs w:val="21"/>
                <w:lang w:val="ca-ES"/>
              </w:rPr>
              <w:t>5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Contenidodelatabla"/>
              <w:snapToGrid w:val="0"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  <w:lang w:val="ca-ES"/>
              </w:rPr>
            </w:pP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pacing w:line="276" w:lineRule="auto"/>
              <w:jc w:val="both"/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TOTAL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386" w:rsidRDefault="000A1386" w:rsidP="008D1784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</w:tr>
    </w:tbl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r>
        <w:rPr>
          <w:rFonts w:ascii="Arial" w:hAnsi="Arial" w:cs="Arial"/>
          <w:b/>
          <w:sz w:val="22"/>
          <w:u w:val="single"/>
        </w:rPr>
        <w:lastRenderedPageBreak/>
        <w:t xml:space="preserve">LOT 2: </w:t>
      </w:r>
      <w:r>
        <w:rPr>
          <w:rFonts w:ascii="Arial" w:eastAsia="Lucida Sans Unicode" w:hAnsi="Arial" w:cs="Arial"/>
          <w:b/>
          <w:color w:val="00000A"/>
          <w:sz w:val="22"/>
          <w:u w:val="single"/>
          <w:lang w:eastAsia="en-US" w:bidi="ar-SA"/>
        </w:rPr>
        <w:t>SERVEI DE CONTROL DE PLAGUES A LA VIA PÚBLICA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i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</w:pPr>
      <w:r>
        <w:rPr>
          <w:rFonts w:ascii="Arial" w:hAnsi="Arial" w:cs="Arial"/>
          <w:sz w:val="22"/>
        </w:rPr>
        <w:t>Criteri 1: Oferta econòmica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i/>
          <w:sz w:val="22"/>
        </w:rPr>
      </w:pPr>
    </w:p>
    <w:tbl>
      <w:tblPr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766"/>
        <w:gridCol w:w="1134"/>
        <w:gridCol w:w="977"/>
        <w:gridCol w:w="1389"/>
        <w:gridCol w:w="1367"/>
      </w:tblGrid>
      <w:tr w:rsidR="000A1386" w:rsidTr="008D178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 xml:space="preserve">N º actuacions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Preu unitari sense IVA (€)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 xml:space="preserve">Pressupost màxim sense IVA (€)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21"/>
                <w:szCs w:val="21"/>
              </w:rPr>
              <w:t>Pressupost màxim amb IVA (€)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Actuacions programades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a. Actuacions programades a la via pública i clavegueram (9 per barri) pel control de rosegadors i paneroles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54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pStyle w:val="Standard"/>
              <w:spacing w:line="276" w:lineRule="auto"/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/>
              </w:rPr>
              <w:t>IVA 10%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b. Control de mosquits (voltant 14 equipaments + 1 zona crítica)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Altres actuacions a demanda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c. Atenció a incidències a la via pública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Incidències urgents i molt urgents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Incidències no urgents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70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d. Actuacions de control de mosquit en cas d'arbovirosi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e. Actuacions desratització a l’escullera de la platja Litoral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f. Desinsectació amb pintura tipus "</w:t>
            </w:r>
            <w:proofErr w:type="spellStart"/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inesfly</w:t>
            </w:r>
            <w:proofErr w:type="spellEnd"/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" a 20 pous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g. Desratització a solars municipals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 xml:space="preserve">h. Retirada d'abelles amb apicultor acreditat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auto"/>
                <w:sz w:val="21"/>
                <w:szCs w:val="21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1386" w:rsidRDefault="000A1386" w:rsidP="008D1784">
            <w:pPr>
              <w:jc w:val="right"/>
            </w:pPr>
            <w:r>
              <w:rPr>
                <w:rFonts w:ascii="Calibri" w:eastAsia="Times New Roman" w:hAnsi="Calibri" w:cs="Calibri"/>
                <w:color w:val="3465A4"/>
                <w:kern w:val="0"/>
                <w:sz w:val="22"/>
                <w:szCs w:val="22"/>
                <w:lang w:val="es-ES" w:eastAsia="es-ES" w:bidi="ar-SA"/>
              </w:rPr>
              <w:t>IVA 21%</w:t>
            </w:r>
          </w:p>
        </w:tc>
      </w:tr>
      <w:tr w:rsidR="000A1386" w:rsidTr="00E2405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Pr="000A1386" w:rsidRDefault="000A1386" w:rsidP="000A1386">
            <w:pPr>
              <w:pStyle w:val="Standard"/>
              <w:spacing w:line="276" w:lineRule="auto"/>
              <w:rPr>
                <w:rFonts w:ascii="Calibri" w:eastAsia="Times New Roman" w:hAnsi="Calibri" w:cs="Arial"/>
                <w:b/>
                <w:color w:val="auto"/>
                <w:sz w:val="21"/>
                <w:szCs w:val="21"/>
              </w:rPr>
            </w:pPr>
            <w:r w:rsidRPr="000A1386">
              <w:rPr>
                <w:rFonts w:ascii="Calibri" w:eastAsia="Times New Roman" w:hAnsi="Calibri" w:cs="Arial"/>
                <w:b/>
                <w:color w:val="auto"/>
                <w:sz w:val="21"/>
                <w:szCs w:val="21"/>
              </w:rPr>
              <w:t xml:space="preserve">TOTAL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386" w:rsidRDefault="000A1386" w:rsidP="008D1784">
            <w:pPr>
              <w:pStyle w:val="Standard"/>
              <w:spacing w:line="276" w:lineRule="auto"/>
              <w:jc w:val="center"/>
              <w:rPr>
                <w:rFonts w:ascii="Calibri" w:eastAsia="Times New Roman" w:hAnsi="Calibri" w:cs="Arial"/>
                <w:color w:val="auto"/>
                <w:sz w:val="21"/>
                <w:szCs w:val="21"/>
              </w:rPr>
            </w:pPr>
          </w:p>
        </w:tc>
      </w:tr>
    </w:tbl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Criteri 2: Criteris avaluables de manera automàtica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i/>
          <w:sz w:val="22"/>
        </w:rPr>
      </w:pP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(Únicament pels licitadors del lot 2)</w:t>
      </w:r>
    </w:p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i/>
          <w:sz w:val="22"/>
        </w:rPr>
      </w:pPr>
    </w:p>
    <w:tbl>
      <w:tblPr>
        <w:tblW w:w="8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3594"/>
      </w:tblGrid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MARCAR SI ó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Disponibilitat horària fora de les hores habituals d'oficina (telèfon de contacte).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Assessorament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per la identificació d’altres plagues no incloses en aquest plec  (fins a un màxim de 5 assessoraments/any)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Diagnosi en l’àmbit privat per determinar la procedència de la problemàtica fins a un màxim de 3 diagnosis/any:</w:t>
            </w:r>
            <w:r>
              <w:rPr>
                <w:rFonts w:ascii="Calibri" w:eastAsia="Times New Roman" w:hAnsi="Calibri" w:cs="Arial"/>
                <w:bCs/>
                <w:color w:val="auto"/>
                <w:spacing w:val="-3"/>
                <w:sz w:val="21"/>
                <w:szCs w:val="21"/>
                <w:shd w:val="clear" w:color="auto" w:fill="FFFF0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Possibilitat de dur a terme treballs d’actuació en quadres enllumenat públic, semàfors i arquetes i canalitzacions de fibra òptica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Possibilitat de dur a terme petits treballs que suposin barreres físiques de control de plagues (tapar forats, escletxes, caus,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Proporcionar de forma mensual el resum de dades de consum de biocides per barri com a indicador del grau de presència de plagues al clavegueram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  <w:tr w:rsidR="000A1386" w:rsidTr="008D178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Disposar d’un programari, amb possibilitat d’accés on-line per l’Ajuntament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86" w:rsidRDefault="000A1386" w:rsidP="008D1784">
            <w:pPr>
              <w:pStyle w:val="Standard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/  NO</w:t>
            </w:r>
          </w:p>
        </w:tc>
      </w:tr>
    </w:tbl>
    <w:p w:rsidR="000A1386" w:rsidRDefault="000A1386" w:rsidP="000A1386">
      <w:pPr>
        <w:pStyle w:val="Standard"/>
        <w:widowControl w:val="0"/>
        <w:spacing w:after="0"/>
        <w:jc w:val="both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rPr>
          <w:rFonts w:ascii="Arial" w:hAnsi="Arial" w:cs="Arial"/>
          <w:sz w:val="22"/>
        </w:rPr>
      </w:pPr>
    </w:p>
    <w:p w:rsidR="000A1386" w:rsidRDefault="000A1386" w:rsidP="000A1386">
      <w:pPr>
        <w:pStyle w:val="Standard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 per què consti, signo aquesta oferta econòmica.</w:t>
      </w:r>
    </w:p>
    <w:p w:rsidR="000A1386" w:rsidRDefault="000A1386" w:rsidP="000A1386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(lloc i data )</w:t>
      </w:r>
    </w:p>
    <w:p w:rsidR="00342573" w:rsidRDefault="000A1386" w:rsidP="000A1386">
      <w:pPr>
        <w:pStyle w:val="Standard"/>
      </w:pPr>
      <w:r>
        <w:rPr>
          <w:rFonts w:ascii="Arial" w:hAnsi="Arial" w:cs="Arial"/>
          <w:sz w:val="22"/>
        </w:rPr>
        <w:t>Signatura</w:t>
      </w:r>
    </w:p>
    <w:sectPr w:rsidR="003425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F7" w:rsidRDefault="009A1DF7" w:rsidP="009A1DF7">
      <w:r>
        <w:separator/>
      </w:r>
    </w:p>
  </w:endnote>
  <w:endnote w:type="continuationSeparator" w:id="0">
    <w:p w:rsidR="009A1DF7" w:rsidRDefault="009A1DF7" w:rsidP="009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F7" w:rsidRDefault="009A1DF7" w:rsidP="009A1DF7">
      <w:r>
        <w:separator/>
      </w:r>
    </w:p>
  </w:footnote>
  <w:footnote w:type="continuationSeparator" w:id="0">
    <w:p w:rsidR="009A1DF7" w:rsidRDefault="009A1DF7" w:rsidP="009A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F7" w:rsidRDefault="009A1DF7">
    <w:pPr>
      <w:pStyle w:val="Encabezado"/>
    </w:pPr>
    <w:r>
      <w:rPr>
        <w:noProof/>
        <w:lang w:val="es-ES" w:eastAsia="es-ES"/>
      </w:rPr>
      <w:drawing>
        <wp:inline distT="0" distB="0" distL="0" distR="0" wp14:anchorId="50B078A5" wp14:editId="1D113AB2">
          <wp:extent cx="5400040" cy="580669"/>
          <wp:effectExtent l="0" t="0" r="0" b="0"/>
          <wp:docPr id="1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806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B23"/>
    <w:multiLevelType w:val="multilevel"/>
    <w:tmpl w:val="03621FAE"/>
    <w:lvl w:ilvl="0">
      <w:numFmt w:val="bullet"/>
      <w:lvlText w:val="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7"/>
    <w:rsid w:val="00083312"/>
    <w:rsid w:val="000A1386"/>
    <w:rsid w:val="006969C4"/>
    <w:rsid w:val="009A1DF7"/>
    <w:rsid w:val="00AF4D28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C075"/>
  <w15:chartTrackingRefBased/>
  <w15:docId w15:val="{91B2E29E-B0FD-4BBE-8D0C-D7FBFD8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paragraph" w:styleId="Ttulo2">
    <w:name w:val="heading 2"/>
    <w:basedOn w:val="Standard"/>
    <w:next w:val="Standard"/>
    <w:link w:val="Ttulo2Car"/>
    <w:uiPriority w:val="9"/>
    <w:unhideWhenUsed/>
    <w:qFormat/>
    <w:rsid w:val="009A1DF7"/>
    <w:pPr>
      <w:keepNext/>
      <w:spacing w:line="360" w:lineRule="auto"/>
      <w:jc w:val="both"/>
      <w:outlineLvl w:val="1"/>
    </w:pPr>
    <w:rPr>
      <w:rFonts w:ascii="Verdana" w:eastAsia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1DF7"/>
    <w:rPr>
      <w:rFonts w:ascii="Verdana" w:eastAsia="Verdana" w:hAnsi="Verdana" w:cs="Verdana"/>
      <w:b/>
      <w:bCs/>
      <w:color w:val="333399"/>
      <w:kern w:val="3"/>
      <w:sz w:val="20"/>
      <w:szCs w:val="24"/>
      <w:lang w:val="ca-ES"/>
    </w:rPr>
  </w:style>
  <w:style w:type="paragraph" w:customStyle="1" w:styleId="Standard">
    <w:name w:val="Standard"/>
    <w:rsid w:val="009A1DF7"/>
    <w:pPr>
      <w:suppressAutoHyphens/>
      <w:autoSpaceDN w:val="0"/>
      <w:spacing w:after="200" w:line="240" w:lineRule="auto"/>
      <w:textAlignment w:val="baseline"/>
    </w:pPr>
    <w:rPr>
      <w:rFonts w:ascii="Cambria" w:eastAsia="Lucida Sans Unicode" w:hAnsi="Cambria" w:cs="Cambria"/>
      <w:color w:val="00000A"/>
      <w:kern w:val="3"/>
      <w:sz w:val="24"/>
      <w:szCs w:val="24"/>
      <w:lang w:val="ca-ES"/>
    </w:rPr>
  </w:style>
  <w:style w:type="paragraph" w:styleId="NormalWeb">
    <w:name w:val="Normal (Web)"/>
    <w:basedOn w:val="Standard"/>
    <w:rsid w:val="009A1DF7"/>
    <w:pPr>
      <w:spacing w:before="280" w:after="280"/>
    </w:pPr>
    <w:rPr>
      <w:sz w:val="19"/>
      <w:szCs w:val="19"/>
    </w:rPr>
  </w:style>
  <w:style w:type="paragraph" w:customStyle="1" w:styleId="Textbodyindent">
    <w:name w:val="Text body indent"/>
    <w:basedOn w:val="Standard"/>
    <w:rsid w:val="009A1DF7"/>
    <w:pPr>
      <w:spacing w:line="360" w:lineRule="auto"/>
      <w:ind w:firstLine="720"/>
      <w:jc w:val="both"/>
    </w:pPr>
    <w:rPr>
      <w:rFonts w:ascii="Verdana" w:eastAsia="Verdana" w:hAnsi="Verdana" w:cs="Verdana"/>
      <w:sz w:val="20"/>
    </w:rPr>
  </w:style>
  <w:style w:type="paragraph" w:customStyle="1" w:styleId="Estilo2">
    <w:name w:val="Estilo2"/>
    <w:basedOn w:val="Standard"/>
    <w:rsid w:val="009A1DF7"/>
    <w:pPr>
      <w:keepNext/>
      <w:spacing w:line="360" w:lineRule="auto"/>
      <w:jc w:val="center"/>
    </w:pPr>
    <w:rPr>
      <w:rFonts w:ascii="Verdana" w:eastAsia="Verdana" w:hAnsi="Verdana" w:cs="Microsoft Sans Serif"/>
      <w:bCs/>
      <w:sz w:val="20"/>
    </w:rPr>
  </w:style>
  <w:style w:type="paragraph" w:customStyle="1" w:styleId="Prrafodelista1">
    <w:name w:val="Párrafo de lista1"/>
    <w:basedOn w:val="Normal"/>
    <w:rsid w:val="009A1DF7"/>
    <w:pPr>
      <w:widowControl/>
      <w:spacing w:after="200"/>
      <w:ind w:left="708"/>
      <w:textAlignment w:val="auto"/>
    </w:pPr>
    <w:rPr>
      <w:rFonts w:ascii="Cambria" w:eastAsia="Lucida Sans Unicode" w:hAnsi="Cambria" w:cs="Cambria"/>
      <w:color w:val="00000A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  <w:style w:type="paragraph" w:customStyle="1" w:styleId="Contenidodelatabla">
    <w:name w:val="Contenido de la tabla"/>
    <w:basedOn w:val="Standard"/>
    <w:rsid w:val="000A1386"/>
    <w:pPr>
      <w:widowControl w:val="0"/>
      <w:suppressLineNumbers/>
      <w:spacing w:after="0"/>
    </w:pPr>
    <w:rPr>
      <w:rFonts w:ascii="Times New Roman" w:eastAsia="Times New Roman" w:hAnsi="Times New Roman" w:cs="Times New Roman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Adrià de Besòs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José Herrero Hermosilla</dc:creator>
  <cp:keywords/>
  <dc:description/>
  <cp:lastModifiedBy>David José Herrero Hermosilla</cp:lastModifiedBy>
  <cp:revision>2</cp:revision>
  <dcterms:created xsi:type="dcterms:W3CDTF">2024-02-04T16:12:00Z</dcterms:created>
  <dcterms:modified xsi:type="dcterms:W3CDTF">2024-02-04T16:12:00Z</dcterms:modified>
</cp:coreProperties>
</file>