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BFC82" w14:textId="342A78C5" w:rsidR="007503FF" w:rsidRDefault="00CF67FD">
      <w:r>
        <w:t>Veure plec de clàusules administratives particulars</w:t>
      </w:r>
    </w:p>
    <w:sectPr w:rsidR="007503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7FD"/>
    <w:rsid w:val="007503FF"/>
    <w:rsid w:val="00CF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E14E1"/>
  <w15:chartTrackingRefBased/>
  <w15:docId w15:val="{A13ED8B5-FDBA-49D0-9A64-A1354F060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44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Mertixell Sorribes</dc:creator>
  <cp:keywords/>
  <dc:description/>
  <cp:lastModifiedBy>Mertixell Sorribes</cp:lastModifiedBy>
  <cp:revision>1</cp:revision>
  <dcterms:created xsi:type="dcterms:W3CDTF">2023-12-22T12:21:00Z</dcterms:created>
  <dcterms:modified xsi:type="dcterms:W3CDTF">2023-12-22T12:22:00Z</dcterms:modified>
</cp:coreProperties>
</file>