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56" w:lineRule="auto"/>
        <w:ind w:left="0" w:right="1080" w:hanging="1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konlxzkxqyae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ANNEX 3. MODEL D’OFERTA ECONÒMICA I ALTRES CRITERIS AVALUABLES AUTOMÀTICAMENT</w:t>
      </w:r>
    </w:p>
    <w:p w:rsidR="00000000" w:rsidDel="00000000" w:rsidP="00000000" w:rsidRDefault="00000000" w:rsidRPr="00000000" w14:paraId="00000002">
      <w:pPr>
        <w:spacing w:after="120" w:before="480" w:line="256" w:lineRule="auto"/>
        <w:ind w:left="20" w:right="340" w:firstLine="0"/>
        <w:jc w:val="left"/>
        <w:rPr/>
      </w:pPr>
      <w:r w:rsidDel="00000000" w:rsidR="00000000" w:rsidRPr="00000000">
        <w:rPr>
          <w:rtl w:val="0"/>
        </w:rPr>
        <w:t xml:space="preserve">Núm. expedient: 2023/02 CL</w:t>
      </w:r>
    </w:p>
    <w:p w:rsidR="00000000" w:rsidDel="00000000" w:rsidP="00000000" w:rsidRDefault="00000000" w:rsidRPr="00000000" w14:paraId="00000003">
      <w:pPr>
        <w:spacing w:after="240" w:before="240" w:line="256" w:lineRule="auto"/>
        <w:ind w:left="0" w:right="1060" w:hanging="1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Procediment:</w:t>
      </w:r>
      <w:r w:rsidDel="00000000" w:rsidR="00000000" w:rsidRPr="00000000">
        <w:rPr>
          <w:sz w:val="20"/>
          <w:szCs w:val="20"/>
          <w:rtl w:val="0"/>
        </w:rPr>
        <w:t xml:space="preserve"> Servei de corredoria d’assegurances per la mediació de les pòlisses d’assegurances de Companyia Local d’Actuacions Urbanístiques Santboianes, SA (CLAUS).</w:t>
      </w:r>
    </w:p>
    <w:p w:rsidR="00000000" w:rsidDel="00000000" w:rsidP="00000000" w:rsidRDefault="00000000" w:rsidRPr="00000000" w14:paraId="00000004">
      <w:pPr>
        <w:spacing w:after="240" w:before="240" w:line="256" w:lineRule="auto"/>
        <w:ind w:left="0" w:right="1060" w:hanging="1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El/La Sr./Sra._________________________ amb DNI _______________________, actuant en representació de l’empresa/entitat ________________________, o en nom propi), amb CIF ____________, i amb domicili fiscal en ______________, assabentat de la convocatòria realitzada per CLAUS per a l’adjudicació del contracte del Servei de corredoria d’assegurances per la mediació de les pòlisses d’assegurances de Companyia Local d’Actuacions Urbanístiques Santboianes, SA, mitjançant procediment obert i tràmit ordinari, es compromet a l’execució del contracte amb subjecció als plecs de clàusules administratives particulars i de prescripcions tècniques particulars que regeixen la licitació, d’acord amb el contingut de les condicions econòmiques i millores següents: </w:t>
      </w:r>
    </w:p>
    <w:p w:rsidR="00000000" w:rsidDel="00000000" w:rsidP="00000000" w:rsidRDefault="00000000" w:rsidRPr="00000000" w14:paraId="00000005">
      <w:pPr>
        <w:spacing w:after="0" w:line="256" w:lineRule="auto"/>
        <w:ind w:left="0" w:right="2800" w:hanging="10"/>
        <w:jc w:val="left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Oferta econòmica</w:t>
      </w:r>
    </w:p>
    <w:tbl>
      <w:tblPr>
        <w:tblStyle w:val="Table1"/>
        <w:tblW w:w="8865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95"/>
        <w:gridCol w:w="2385"/>
        <w:gridCol w:w="2385"/>
        <w:tblGridChange w:id="0">
          <w:tblGrid>
            <w:gridCol w:w="4095"/>
            <w:gridCol w:w="2385"/>
            <w:gridCol w:w="2385"/>
          </w:tblGrid>
        </w:tblGridChange>
      </w:tblGrid>
      <w:tr>
        <w:trPr>
          <w:cantSplit w:val="1"/>
          <w:trHeight w:val="885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240" w:before="240" w:line="256" w:lineRule="auto"/>
              <w:ind w:left="0" w:right="1060" w:hanging="1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Concepte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240" w:before="240" w:line="256" w:lineRule="auto"/>
              <w:ind w:left="283" w:right="19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Pressupost màxim previst (sense IVA)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240" w:before="240" w:line="256" w:lineRule="auto"/>
              <w:ind w:left="0" w:right="190" w:hanging="1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Import ofert (sense IVA)*</w:t>
            </w:r>
          </w:p>
        </w:tc>
      </w:tr>
      <w:tr>
        <w:trPr>
          <w:cantSplit w:val="1"/>
          <w:trHeight w:val="1965" w:hRule="atLeast"/>
          <w:tblHeader w:val="1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240" w:before="240" w:line="256" w:lineRule="auto"/>
              <w:ind w:left="0" w:right="140" w:hanging="1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Servei de mediació de les assegurances i de subscripció de les diverses pòlisses d’assegurances que garanteixen els riscos que es derivin de l’activitat normal que desenvolupa la Companyia Local d’Actuacions Urbanístiques Santboianes, SA (CLAUS)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240" w:before="240" w:line="256" w:lineRule="auto"/>
              <w:ind w:left="0" w:right="332" w:hanging="10"/>
              <w:jc w:val="left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 67.500,00 euros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2cc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40" w:before="240" w:line="256" w:lineRule="auto"/>
              <w:ind w:left="0" w:right="1060" w:hanging="10"/>
              <w:jc w:val="left"/>
              <w:rPr>
                <w:color w:val="0000ff"/>
                <w:sz w:val="18"/>
                <w:szCs w:val="18"/>
              </w:rPr>
            </w:pPr>
            <w:r w:rsidDel="00000000" w:rsidR="00000000" w:rsidRPr="00000000">
              <w:rPr>
                <w:color w:val="0000ff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spacing w:after="240" w:before="240" w:line="256" w:lineRule="auto"/>
        <w:ind w:left="0" w:right="1060" w:hanging="10"/>
        <w:jc w:val="left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Millores</w:t>
      </w:r>
    </w:p>
    <w:tbl>
      <w:tblPr>
        <w:tblStyle w:val="Table2"/>
        <w:tblW w:w="8910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860"/>
        <w:gridCol w:w="4050"/>
        <w:tblGridChange w:id="0">
          <w:tblGrid>
            <w:gridCol w:w="4860"/>
            <w:gridCol w:w="4050"/>
          </w:tblGrid>
        </w:tblGridChange>
      </w:tblGrid>
      <w:tr>
        <w:trPr>
          <w:cantSplit w:val="1"/>
          <w:trHeight w:val="1025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240" w:before="240" w:line="256" w:lineRule="auto"/>
              <w:ind w:left="100" w:right="114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B.1 Tenir una assistència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(telemàtica o presencial) superior a la mensual establerta en el PPT. (màxim 5 punts)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240" w:before="240" w:line="256" w:lineRule="auto"/>
              <w:ind w:left="100" w:right="154" w:firstLine="0"/>
              <w:rPr>
                <w:sz w:val="16"/>
                <w:szCs w:val="16"/>
              </w:rPr>
            </w:pPr>
            <w:r w:rsidDel="00000000" w:rsidR="00000000" w:rsidRPr="00000000">
              <w:rPr>
                <w:color w:val="999999"/>
                <w:sz w:val="16"/>
                <w:szCs w:val="16"/>
                <w:rtl w:val="0"/>
              </w:rPr>
              <w:t xml:space="preserve">Cal Indicar l’assistència (telemàtica o presencial) superior a la mensual del PPT, en cas que s’ofereixi la millora.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</w:t>
            </w:r>
          </w:p>
        </w:tc>
      </w:tr>
      <w:tr>
        <w:trPr>
          <w:cantSplit w:val="1"/>
          <w:trHeight w:val="1042" w:hRule="atLeast"/>
          <w:tblHeader w:val="1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240" w:before="240" w:line="256" w:lineRule="auto"/>
              <w:ind w:left="100" w:right="215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B.2 Tenir una línia de consultes permanent amb una estimació superior a les 60 hores anuals establertes en el PPT. (màxim 5 punts)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240" w:before="240" w:line="256" w:lineRule="auto"/>
              <w:ind w:left="100" w:right="154" w:firstLine="0"/>
              <w:rPr>
                <w:color w:val="999999"/>
                <w:sz w:val="16"/>
                <w:szCs w:val="16"/>
              </w:rPr>
            </w:pPr>
            <w:r w:rsidDel="00000000" w:rsidR="00000000" w:rsidRPr="00000000">
              <w:rPr>
                <w:color w:val="999999"/>
                <w:sz w:val="16"/>
                <w:szCs w:val="16"/>
                <w:rtl w:val="0"/>
              </w:rPr>
              <w:t xml:space="preserve">Cal indicar una línia de consultes superior a l’estimació de 60 hores anuals del PPT, en cas que s’ofereixi la millora.</w:t>
            </w:r>
          </w:p>
          <w:p w:rsidR="00000000" w:rsidDel="00000000" w:rsidP="00000000" w:rsidRDefault="00000000" w:rsidRPr="00000000" w14:paraId="00000011">
            <w:pPr>
              <w:spacing w:after="240" w:before="240" w:line="256" w:lineRule="auto"/>
              <w:ind w:left="100" w:right="116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                                  Hores/anuals</w:t>
            </w:r>
          </w:p>
        </w:tc>
      </w:tr>
    </w:tbl>
    <w:p w:rsidR="00000000" w:rsidDel="00000000" w:rsidP="00000000" w:rsidRDefault="00000000" w:rsidRPr="00000000" w14:paraId="00000012">
      <w:pPr>
        <w:spacing w:after="240" w:before="240" w:line="256" w:lineRule="auto"/>
        <w:ind w:left="0" w:right="500" w:hanging="10"/>
        <w:jc w:val="left"/>
        <w:rPr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65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65"/>
        <w:tblGridChange w:id="0">
          <w:tblGrid>
            <w:gridCol w:w="8865"/>
          </w:tblGrid>
        </w:tblGridChange>
      </w:tblGrid>
      <w:tr>
        <w:trPr>
          <w:cantSplit w:val="1"/>
          <w:trHeight w:val="675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="362" w:lineRule="auto"/>
              <w:ind w:left="100" w:right="100" w:firstLine="0"/>
              <w:jc w:val="left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1. No es poden deixar sense omplir les caselles marcades en groc.</w:t>
            </w:r>
          </w:p>
          <w:p w:rsidR="00000000" w:rsidDel="00000000" w:rsidP="00000000" w:rsidRDefault="00000000" w:rsidRPr="00000000" w14:paraId="00000014">
            <w:pPr>
              <w:spacing w:after="0" w:line="256" w:lineRule="auto"/>
              <w:ind w:left="100" w:right="100" w:firstLine="0"/>
              <w:jc w:val="left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Si es deixa algun espai sense omplir l'empresa no es pot valorar i quedarà exclosa.</w:t>
            </w:r>
          </w:p>
        </w:tc>
      </w:tr>
      <w:tr>
        <w:trPr>
          <w:cantSplit w:val="1"/>
          <w:trHeight w:val="180" w:hRule="atLeast"/>
          <w:tblHeader w:val="1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="256" w:lineRule="auto"/>
              <w:ind w:left="100" w:right="100" w:firstLine="0"/>
              <w:jc w:val="left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2. Superar el preu màxim comporta l'exclusió del licitador.</w:t>
            </w:r>
          </w:p>
        </w:tc>
      </w:tr>
    </w:tbl>
    <w:p w:rsidR="00000000" w:rsidDel="00000000" w:rsidP="00000000" w:rsidRDefault="00000000" w:rsidRPr="00000000" w14:paraId="00000016">
      <w:pPr>
        <w:spacing w:after="240" w:before="240" w:line="256" w:lineRule="auto"/>
        <w:ind w:left="0" w:right="500" w:hanging="10"/>
        <w:jc w:val="left"/>
        <w:rPr/>
      </w:pPr>
      <w:r w:rsidDel="00000000" w:rsidR="00000000" w:rsidRPr="00000000">
        <w:rPr>
          <w:sz w:val="16"/>
          <w:szCs w:val="16"/>
          <w:rtl w:val="0"/>
        </w:rPr>
        <w:t xml:space="preserve">*Es fa constar que les pòlisses d’assegurances no estan subjectes a IVA.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1" w:w="11899" w:orient="portrait"/>
      <w:pgMar w:bottom="1216" w:top="1843" w:left="1601" w:right="452" w:header="527" w:footer="3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Poppi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200" w:line="276" w:lineRule="auto"/>
      <w:ind w:left="0" w:right="0" w:firstLine="0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200" w:line="276" w:lineRule="auto"/>
      <w:ind w:left="0" w:right="0" w:firstLine="0"/>
      <w:jc w:val="center"/>
      <w:rPr>
        <w:rFonts w:ascii="Calibri" w:cs="Calibri" w:eastAsia="Calibri" w:hAnsi="Calibri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spacing w:after="0" w:line="259" w:lineRule="auto"/>
      <w:ind w:left="0" w:right="1125" w:firstLine="0"/>
      <w:jc w:val="right"/>
      <w:rPr/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Informat per l’Assessoria Jurídica en data 6 d’abril de 2018 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spacing w:after="0" w:line="259" w:lineRule="auto"/>
      <w:ind w:left="0" w:right="1125" w:firstLine="0"/>
      <w:jc w:val="right"/>
      <w:rPr/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after="0" w:line="259" w:lineRule="auto"/>
      <w:ind w:left="0" w:right="0" w:firstLine="0"/>
      <w:jc w:val="left"/>
      <w:rPr/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Informat per l’Assessoria Jurídica en data 6 d’abril de 2018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spacing w:after="0" w:line="259" w:lineRule="auto"/>
      <w:ind w:left="-1601" w:right="6513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b w:val="1"/>
        <w:color w:val="0070c0"/>
      </w:rPr>
    </w:pPr>
    <w:r w:rsidDel="00000000" w:rsidR="00000000" w:rsidRPr="00000000">
      <w:rPr>
        <w:b w:val="1"/>
        <w:color w:val="0070c0"/>
        <w:rtl w:val="0"/>
      </w:rPr>
      <w:tab/>
      <w:tab/>
      <w:tab/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right="1067"/>
      <w:jc w:val="right"/>
      <w:rPr>
        <w:rFonts w:ascii="Poppins Medium" w:cs="Poppins Medium" w:eastAsia="Poppins Medium" w:hAnsi="Poppins Medium"/>
        <w:color w:val="0070c0"/>
      </w:rPr>
    </w:pPr>
    <w:r w:rsidDel="00000000" w:rsidR="00000000" w:rsidRPr="00000000">
      <w:rPr>
        <w:b w:val="1"/>
        <w:color w:val="0070c0"/>
        <w:rtl w:val="0"/>
      </w:rPr>
      <w:tab/>
      <w:tab/>
      <w:tab/>
    </w:r>
    <w:r w:rsidDel="00000000" w:rsidR="00000000" w:rsidRPr="00000000">
      <w:rPr>
        <w:rFonts w:ascii="Poppins Medium" w:cs="Poppins Medium" w:eastAsia="Poppins Medium" w:hAnsi="Poppins Medium"/>
        <w:color w:val="0070c0"/>
        <w:rtl w:val="0"/>
      </w:rPr>
      <w:t xml:space="preserve">CLAUS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-178431</wp:posOffset>
          </wp:positionH>
          <wp:positionV relativeFrom="paragraph">
            <wp:posOffset>-190496</wp:posOffset>
          </wp:positionV>
          <wp:extent cx="2524125" cy="571500"/>
          <wp:effectExtent b="0" l="0" r="0" t="0"/>
          <wp:wrapSquare wrapText="bothSides" distB="0" distT="0" distL="114300" distR="114300"/>
          <wp:docPr id="8197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6463" l="0" r="0" t="8649"/>
                  <a:stretch>
                    <a:fillRect/>
                  </a:stretch>
                </pic:blipFill>
                <pic:spPr>
                  <a:xfrm>
                    <a:off x="0" y="0"/>
                    <a:ext cx="2524125" cy="571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spacing w:after="0" w:line="259" w:lineRule="auto"/>
      <w:ind w:left="-1601" w:right="6513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-ES"/>
      </w:rPr>
    </w:rPrDefault>
    <w:pPrDefault>
      <w:pPr>
        <w:spacing w:after="5" w:line="248.00000000000006" w:lineRule="auto"/>
        <w:ind w:left="10" w:right="331" w:hanging="2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8.00000000000006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" w:before="0" w:line="249" w:lineRule="auto"/>
      <w:ind w:left="10" w:right="331" w:hanging="2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8.00000000000006" w:lineRule="auto"/>
      <w:ind w:left="10" w:right="331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8.00000000000006" w:lineRule="auto"/>
      <w:ind w:left="10" w:right="331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8.00000000000006" w:lineRule="auto"/>
      <w:ind w:left="10" w:right="331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8.00000000000006" w:lineRule="auto"/>
      <w:ind w:left="10" w:right="331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8.00000000000006" w:lineRule="auto"/>
      <w:ind w:left="10" w:right="331" w:hanging="10"/>
      <w:jc w:val="both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CF4AEC"/>
    <w:pPr>
      <w:ind w:hanging="10"/>
    </w:pPr>
    <w:rPr>
      <w:color w:val="000000"/>
    </w:rPr>
  </w:style>
  <w:style w:type="paragraph" w:styleId="Ttulo1">
    <w:name w:val="heading 1"/>
    <w:next w:val="Normal"/>
    <w:link w:val="Ttulo1Car"/>
    <w:uiPriority w:val="9"/>
    <w:unhideWhenUsed w:val="1"/>
    <w:qFormat w:val="1"/>
    <w:rsid w:val="00CF4AEC"/>
    <w:pPr>
      <w:keepNext w:val="1"/>
      <w:keepLines w:val="1"/>
      <w:spacing w:line="249" w:lineRule="auto"/>
      <w:ind w:hanging="10"/>
      <w:outlineLvl w:val="0"/>
    </w:pPr>
    <w:rPr>
      <w:b w:val="1"/>
      <w:color w:val="000000"/>
    </w:rPr>
  </w:style>
  <w:style w:type="paragraph" w:styleId="Ttulo2">
    <w:name w:val="heading 2"/>
    <w:next w:val="Normal"/>
    <w:link w:val="Ttulo2Car"/>
    <w:uiPriority w:val="9"/>
    <w:unhideWhenUsed w:val="1"/>
    <w:qFormat w:val="1"/>
    <w:rsid w:val="00CF4AEC"/>
    <w:pPr>
      <w:keepNext w:val="1"/>
      <w:keepLines w:val="1"/>
      <w:spacing w:line="249" w:lineRule="auto"/>
      <w:ind w:hanging="10"/>
      <w:outlineLvl w:val="1"/>
    </w:pPr>
    <w:rPr>
      <w:b w:val="1"/>
      <w:color w:val="000000"/>
    </w:rPr>
  </w:style>
  <w:style w:type="paragraph" w:styleId="Ttulo3">
    <w:name w:val="heading 3"/>
    <w:basedOn w:val="normal0"/>
    <w:next w:val="normal0"/>
    <w:rsid w:val="00C829D6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0"/>
    <w:next w:val="normal0"/>
    <w:rsid w:val="00C829D6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0"/>
    <w:next w:val="normal0"/>
    <w:rsid w:val="00C829D6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0"/>
    <w:next w:val="normal0"/>
    <w:rsid w:val="00C829D6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0" w:customStyle="1">
    <w:name w:val="normal"/>
    <w:rsid w:val="00C829D6"/>
  </w:style>
  <w:style w:type="table" w:styleId="TableNormal" w:customStyle="1">
    <w:name w:val="Table Normal"/>
    <w:rsid w:val="00C829D6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0"/>
    <w:next w:val="normal0"/>
    <w:rsid w:val="00C829D6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tulo1Car" w:customStyle="1">
    <w:name w:val="Título 1 Car"/>
    <w:link w:val="Ttulo1"/>
    <w:rsid w:val="00CF4AEC"/>
    <w:rPr>
      <w:rFonts w:ascii="Arial" w:cs="Arial" w:eastAsia="Arial" w:hAnsi="Arial"/>
      <w:b w:val="1"/>
      <w:color w:val="000000"/>
      <w:sz w:val="22"/>
    </w:rPr>
  </w:style>
  <w:style w:type="character" w:styleId="Ttulo2Car" w:customStyle="1">
    <w:name w:val="Título 2 Car"/>
    <w:link w:val="Ttulo2"/>
    <w:rsid w:val="00CF4AEC"/>
    <w:rPr>
      <w:rFonts w:ascii="Arial" w:cs="Arial" w:eastAsia="Arial" w:hAnsi="Arial"/>
      <w:b w:val="1"/>
      <w:color w:val="000000"/>
      <w:sz w:val="22"/>
    </w:rPr>
  </w:style>
  <w:style w:type="table" w:styleId="TableGrid" w:customStyle="1">
    <w:name w:val="TableGrid"/>
    <w:rsid w:val="00CF4AEC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semiHidden w:val="1"/>
    <w:unhideWhenUsed w:val="1"/>
    <w:rsid w:val="001B226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semiHidden w:val="1"/>
    <w:rsid w:val="001B2269"/>
    <w:rPr>
      <w:rFonts w:ascii="Arial" w:cs="Arial" w:eastAsia="Arial" w:hAnsi="Arial"/>
      <w:color w:val="00000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E1B4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E1B41"/>
    <w:rPr>
      <w:rFonts w:ascii="Tahoma" w:cs="Tahoma" w:eastAsia="Arial" w:hAnsi="Tahoma"/>
      <w:color w:val="000000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 w:val="1"/>
    <w:rsid w:val="00D85425"/>
    <w:pPr>
      <w:tabs>
        <w:tab w:val="center" w:pos="4320"/>
        <w:tab w:val="right" w:pos="8640"/>
      </w:tabs>
      <w:spacing w:after="200" w:line="276" w:lineRule="auto"/>
      <w:ind w:left="0" w:right="0" w:firstLine="0"/>
      <w:jc w:val="left"/>
    </w:pPr>
    <w:rPr>
      <w:rFonts w:asciiTheme="minorHAnsi" w:cstheme="minorBidi" w:eastAsiaTheme="minorEastAsia" w:hAnsiTheme="minorHAnsi"/>
      <w:color w:val="auto"/>
      <w:lang w:eastAsia="en-US" w:val="es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D85425"/>
    <w:rPr>
      <w:lang w:eastAsia="en-US" w:val="es-ES"/>
    </w:rPr>
  </w:style>
  <w:style w:type="paragraph" w:styleId="Subttulo">
    <w:name w:val="Subtitle"/>
    <w:basedOn w:val="Normal"/>
    <w:next w:val="Normal"/>
    <w:rsid w:val="00C829D6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C829D6"/>
    <w:pPr>
      <w:spacing w:after="0" w:line="240" w:lineRule="auto"/>
    </w:pPr>
    <w:tblPr>
      <w:tblStyleRowBandSize w:val="1"/>
      <w:tblStyleColBandSize w:val="1"/>
      <w:tblCellMar>
        <w:top w:w="14.0" w:type="dxa"/>
        <w:left w:w="108.0" w:type="dxa"/>
        <w:bottom w:w="0.0" w:type="dxa"/>
        <w:right w:w="115.0" w:type="dxa"/>
      </w:tblCellMar>
    </w:tblPr>
  </w:style>
  <w:style w:type="table" w:styleId="a0" w:customStyle="1">
    <w:basedOn w:val="TableNormal"/>
    <w:rsid w:val="00C829D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rsid w:val="00C829D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rsid w:val="00C829D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rsid w:val="00C829D6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Medium-regular.ttf"/><Relationship Id="rId2" Type="http://schemas.openxmlformats.org/officeDocument/2006/relationships/font" Target="fonts/PoppinsMedium-bold.ttf"/><Relationship Id="rId3" Type="http://schemas.openxmlformats.org/officeDocument/2006/relationships/font" Target="fonts/PoppinsMedium-italic.ttf"/><Relationship Id="rId4" Type="http://schemas.openxmlformats.org/officeDocument/2006/relationships/font" Target="fonts/PoppinsMedium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T/ythGxE4UUvjQbEIwchWo+VIQg==">AMUW2mWKYvcVaBsz4vEkbwV7dj5tyRIkvZLvZuMFDt9cnPJ9+zzeX7xQwUgLsR25MGYWeFkCrgUVRkuM4B7UdyB/bPFl2I0d/8ElRr3bDKAM/V1ga2yfogPxFbFASsXtfXV2zc3k+DoB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2023-10-09T06:28:00Z</dcterms:created>
  <dc:creator>Alonso Solé, Elena</dc:creator>
</cp:coreProperties>
</file>