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line="248.00000000000006" w:lineRule="auto"/>
        <w:ind w:left="0" w:right="1060" w:firstLine="0"/>
        <w:rPr/>
      </w:pPr>
      <w:bookmarkStart w:colFirst="0" w:colLast="0" w:name="_heading=h.dlb4u1kiiiuq" w:id="0"/>
      <w:bookmarkEnd w:id="0"/>
      <w:r w:rsidDel="00000000" w:rsidR="00000000" w:rsidRPr="00000000">
        <w:rPr>
          <w:rtl w:val="0"/>
        </w:rPr>
        <w:t xml:space="preserve">ANNEX 2. CRITERIS D’ADJUDICACIÓ</w:t>
      </w:r>
    </w:p>
    <w:p w:rsidR="00000000" w:rsidDel="00000000" w:rsidP="00000000" w:rsidRDefault="00000000" w:rsidRPr="00000000" w14:paraId="00000002">
      <w:pPr>
        <w:spacing w:after="0" w:line="256.8" w:lineRule="auto"/>
        <w:ind w:left="0" w:right="106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 tal de poder procedir a la valoració de les ofertes per l’adjudicació del concurs, és necessari que el licitador presenti, amb cadascuna d’elles, la informació sol·licitada. Les ofertes que no s’ajustin a aquesta prescripció de manera parcial o total s’exclouran de la valoració.</w:t>
      </w:r>
    </w:p>
    <w:p w:rsidR="00000000" w:rsidDel="00000000" w:rsidP="00000000" w:rsidRDefault="00000000" w:rsidRPr="00000000" w14:paraId="00000004">
      <w:pPr>
        <w:spacing w:after="20" w:line="256.8" w:lineRule="auto"/>
        <w:ind w:left="0" w:right="1060" w:firstLine="0"/>
        <w:jc w:val="left"/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Els criteris d’adjudicació són els següents:</w:t>
      </w:r>
    </w:p>
    <w:p w:rsidR="00000000" w:rsidDel="00000000" w:rsidP="00000000" w:rsidRDefault="00000000" w:rsidRPr="00000000" w14:paraId="00000006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68.09448818897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2694.047244094488"/>
        <w:gridCol w:w="2694.047244094488"/>
        <w:tblGridChange w:id="0">
          <w:tblGrid>
            <w:gridCol w:w="1080"/>
            <w:gridCol w:w="2694.047244094488"/>
            <w:gridCol w:w="2694.0472440944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Concepte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Puntuació màxima: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100 punts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Oferta econòmica (preu)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Fins a 90 punts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Millores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Fins a 10 punts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before="120" w:lineRule="auto"/>
        <w:ind w:left="1440" w:right="1060" w:hanging="360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A. PREU (Fins a 90 punts)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 valorar el criteri objectiu de l’oferta econòmica les ofertes seran puntuades rebent la màxima puntuació l’oferta més baixa i la resta disminuint la puntuació proporcionalment a l’augment de les seves ofertes.</w:t>
      </w:r>
    </w:p>
    <w:p w:rsidR="00000000" w:rsidDel="00000000" w:rsidP="00000000" w:rsidRDefault="00000000" w:rsidRPr="00000000" w14:paraId="00000016">
      <w:pPr>
        <w:spacing w:after="120" w:before="120" w:lineRule="auto"/>
        <w:ind w:left="1440" w:right="1060" w:hanging="360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ind w:left="1440" w:right="1060" w:hanging="360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 B.</w:t>
        <w:tab/>
        <w:t xml:space="preserve">MILLORES (Fins a 10 punts)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B.1 Es valora com a millora l’assistència</w:t>
      </w:r>
      <w:r w:rsidDel="00000000" w:rsidR="00000000" w:rsidRPr="00000000">
        <w:rPr>
          <w:rtl w:val="0"/>
        </w:rPr>
        <w:t xml:space="preserve"> (telemàtica o presencial)</w:t>
      </w:r>
      <w:r w:rsidDel="00000000" w:rsidR="00000000" w:rsidRPr="00000000">
        <w:rPr>
          <w:highlight w:val="white"/>
          <w:rtl w:val="0"/>
        </w:rPr>
        <w:t xml:space="preserve"> superior a la mensual establerta en el PPT (Fins a 5 punts).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B.2 Es valora com a millora l’oferta d’una línia de consultes permanent amb una estimació superior a les 60 hores anuals establertes en el PPT (Fins a 5 punt).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240" w:lineRule="auto"/>
        <w:ind w:left="1440" w:right="1060" w:hanging="360"/>
        <w:rPr>
          <w:b w:val="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2,5 punts. Si s’ofereix una línia de consultes permanent entre 61 i 80 hores anuals.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lineRule="auto"/>
        <w:ind w:left="1440" w:right="1060" w:hanging="360"/>
        <w:rPr>
          <w:b w:val="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2,5 punts. Si s’ofereix una línia de consultes permanent entre 81 i 100 hores anuals.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 tant, s’obtindrà la màxima puntuació si s’ofereixen més de 81 hores anuals d’una línia de consultes permanent.</w:t>
      </w:r>
    </w:p>
    <w:p w:rsidR="00000000" w:rsidDel="00000000" w:rsidP="00000000" w:rsidRDefault="00000000" w:rsidRPr="00000000" w14:paraId="0000001D">
      <w:pPr>
        <w:pStyle w:val="Heading1"/>
        <w:spacing w:after="240" w:before="240" w:line="256.8" w:lineRule="auto"/>
        <w:ind w:left="0" w:right="1080" w:firstLine="0"/>
        <w:rPr/>
      </w:pPr>
      <w:bookmarkStart w:colFirst="0" w:colLast="0" w:name="_heading=h.d6ydkjz3xs9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07750" y="3460900"/>
                        <a:ext cx="2476500" cy="638175"/>
                        <a:chOff x="4107750" y="3460900"/>
                        <a:chExt cx="2476500" cy="638200"/>
                      </a:xfrm>
                    </wpg:grpSpPr>
                    <wpg:grpSp>
                      <wpg:cNvGrpSpPr/>
                      <wpg:grpSpPr>
                        <a:xfrm>
                          <a:off x="4107750" y="3460913"/>
                          <a:ext cx="2476500" cy="638175"/>
                          <a:chOff x="4107750" y="3460900"/>
                          <a:chExt cx="2476500" cy="638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07750" y="3460900"/>
                            <a:ext cx="2476500" cy="6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07750" y="3460913"/>
                            <a:ext cx="2476500" cy="638175"/>
                            <a:chOff x="4107750" y="3460900"/>
                            <a:chExt cx="2476500" cy="638200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4107750" y="3460900"/>
                              <a:ext cx="2476500" cy="6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07750" y="3460913"/>
                              <a:ext cx="2476500" cy="638175"/>
                              <a:chOff x="0" y="0"/>
                              <a:chExt cx="2476500" cy="638175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24765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360200" y="122514"/>
                                <a:ext cx="45800" cy="206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360200" y="421249"/>
                                <a:ext cx="42100" cy="189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476500" cy="638175"/>
          <wp:effectExtent b="0" l="0" r="0" t="0"/>
          <wp:wrapNone/>
          <wp:docPr id="1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331" w:hanging="10"/>
      <w:jc w:val="both"/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1067.5984251968516" w:hanging="10"/>
      <w:jc w:val="right"/>
      <w:rPr>
        <w:rFonts w:ascii="Poppins Medium" w:cs="Poppins Medium" w:eastAsia="Poppins Medium" w:hAnsi="Poppins Medium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 xml:space="preserve">CORESSA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-178432</wp:posOffset>
          </wp:positionH>
          <wp:positionV relativeFrom="paragraph">
            <wp:posOffset>-190497</wp:posOffset>
          </wp:positionV>
          <wp:extent cx="2524125" cy="571500"/>
          <wp:effectExtent b="0" l="0" r="0" t="0"/>
          <wp:wrapSquare wrapText="bothSides" distB="0" distT="0" distL="114300" distR="11430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07750" y="3460900"/>
                        <a:ext cx="2476500" cy="638175"/>
                        <a:chOff x="4107750" y="3460900"/>
                        <a:chExt cx="2476500" cy="638200"/>
                      </a:xfrm>
                    </wpg:grpSpPr>
                    <wpg:grpSp>
                      <wpg:cNvGrpSpPr/>
                      <wpg:grpSpPr>
                        <a:xfrm>
                          <a:off x="4107750" y="3460913"/>
                          <a:ext cx="2476500" cy="638175"/>
                          <a:chOff x="4107750" y="3460900"/>
                          <a:chExt cx="2476500" cy="638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07750" y="3460900"/>
                            <a:ext cx="2476500" cy="6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07750" y="3460913"/>
                            <a:ext cx="2476500" cy="638175"/>
                            <a:chOff x="4107750" y="3460900"/>
                            <a:chExt cx="2476500" cy="638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7750" y="3460900"/>
                              <a:ext cx="2476500" cy="6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07750" y="3460913"/>
                              <a:ext cx="2476500" cy="638175"/>
                              <a:chOff x="0" y="0"/>
                              <a:chExt cx="2476500" cy="6381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24765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360200" y="122514"/>
                                <a:ext cx="45800" cy="206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360200" y="421249"/>
                                <a:ext cx="42100" cy="189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656590</wp:posOffset>
              </wp:positionH>
              <wp:positionV relativeFrom="page">
                <wp:posOffset>334645</wp:posOffset>
              </wp:positionV>
              <wp:extent cx="2476500" cy="638175"/>
              <wp:effectExtent b="0" l="0" r="0" t="0"/>
              <wp:wrapSquare wrapText="bothSides" distB="0" distT="0" distL="114300" distR="114300"/>
              <wp:docPr id="1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476500" cy="638175"/>
          <wp:effectExtent b="0" l="0" r="0" t="0"/>
          <wp:wrapNone/>
          <wp:docPr id="1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0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lCgb9uzm5m1eMRaL+UjJIHKCA==">CgMxLjAyDmguZGxiNHUxa2lpaXVxMg5oLmQ2eWRranozeHM5ejgAciExYktNcjRUeXRBakpOZHI1Qlh6d3BacTlPM1BIajUzdmQ=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