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4CDD" w14:textId="77777777" w:rsidR="00BD597A" w:rsidRPr="003D69E2" w:rsidRDefault="00BD597A" w:rsidP="00BD597A">
      <w:pPr>
        <w:jc w:val="center"/>
        <w:rPr>
          <w:rFonts w:eastAsia="Calibri" w:cs="Arial"/>
          <w:b/>
          <w:sz w:val="22"/>
          <w:szCs w:val="22"/>
          <w:u w:val="single"/>
          <w:lang w:val="es-ES" w:eastAsia="en-US"/>
        </w:rPr>
      </w:pPr>
      <w:r w:rsidRPr="003D69E2">
        <w:rPr>
          <w:rFonts w:eastAsia="Calibri" w:cs="Arial"/>
          <w:b/>
          <w:sz w:val="22"/>
          <w:szCs w:val="22"/>
          <w:u w:val="single"/>
          <w:lang w:val="es-ES" w:eastAsia="en-US"/>
        </w:rPr>
        <w:t>ANEXO 2</w:t>
      </w:r>
    </w:p>
    <w:p w14:paraId="3FE670C2" w14:textId="77777777" w:rsidR="00BD597A" w:rsidRPr="003D69E2" w:rsidRDefault="00BD597A" w:rsidP="00BD597A">
      <w:pPr>
        <w:jc w:val="center"/>
        <w:rPr>
          <w:rFonts w:eastAsia="Calibri" w:cs="Arial"/>
          <w:b/>
          <w:sz w:val="22"/>
          <w:szCs w:val="22"/>
          <w:lang w:val="es-ES" w:eastAsia="en-US"/>
        </w:rPr>
      </w:pPr>
    </w:p>
    <w:p w14:paraId="06809E58" w14:textId="77777777" w:rsidR="00BD597A" w:rsidRPr="003D69E2" w:rsidRDefault="00BD597A" w:rsidP="00BD597A">
      <w:pPr>
        <w:pBdr>
          <w:bottom w:val="single" w:sz="4" w:space="1" w:color="auto"/>
        </w:pBdr>
        <w:rPr>
          <w:b/>
          <w:lang w:val="es-ES" w:eastAsia="es-ES"/>
        </w:rPr>
      </w:pPr>
      <w:r w:rsidRPr="003D69E2">
        <w:rPr>
          <w:rFonts w:eastAsia="Calibri"/>
          <w:sz w:val="22"/>
          <w:szCs w:val="22"/>
          <w:lang w:val="es-ES" w:eastAsia="en-US"/>
        </w:rPr>
        <w:t>Al pliego de cláusulas administrativas particulares d</w:t>
      </w:r>
      <w:r w:rsidRPr="003D69E2">
        <w:rPr>
          <w:sz w:val="22"/>
          <w:szCs w:val="22"/>
          <w:lang w:val="es-ES" w:eastAsia="es-ES"/>
        </w:rPr>
        <w:t xml:space="preserve">e la contratación consistente al </w:t>
      </w:r>
      <w:r w:rsidRPr="003D69E2">
        <w:rPr>
          <w:b/>
          <w:lang w:val="es-ES" w:eastAsia="es-ES"/>
        </w:rPr>
        <w:t>Servicio, respetuoso con el medio ambiente, de reparación y mantenimiento de carrocería, pintura, mecánica y electricidad de los vehículos de la Diputación de Barcelona y otras entidades integradas en su sector público.</w:t>
      </w:r>
    </w:p>
    <w:p w14:paraId="0F473D9C" w14:textId="77777777" w:rsidR="00BD597A" w:rsidRPr="003D69E2" w:rsidRDefault="00BD597A" w:rsidP="00BD597A">
      <w:pPr>
        <w:pBdr>
          <w:bottom w:val="single" w:sz="4" w:space="1" w:color="auto"/>
        </w:pBdr>
        <w:jc w:val="right"/>
        <w:rPr>
          <w:sz w:val="22"/>
          <w:szCs w:val="22"/>
          <w:lang w:val="es-ES" w:eastAsia="es-ES"/>
        </w:rPr>
      </w:pPr>
    </w:p>
    <w:p w14:paraId="3B134085" w14:textId="77777777" w:rsidR="00BD597A" w:rsidRPr="003D69E2" w:rsidRDefault="00BD597A" w:rsidP="00BD597A">
      <w:pPr>
        <w:pBdr>
          <w:bottom w:val="single" w:sz="4" w:space="1" w:color="auto"/>
        </w:pBdr>
        <w:jc w:val="right"/>
        <w:rPr>
          <w:sz w:val="22"/>
          <w:szCs w:val="22"/>
          <w:lang w:val="es-ES" w:eastAsia="es-ES"/>
        </w:rPr>
      </w:pPr>
      <w:r w:rsidRPr="003D69E2">
        <w:rPr>
          <w:sz w:val="22"/>
          <w:szCs w:val="22"/>
          <w:lang w:val="es-ES" w:eastAsia="es-ES"/>
        </w:rPr>
        <w:t>Expediente n.º: 2023/0029416</w:t>
      </w:r>
    </w:p>
    <w:p w14:paraId="6C9F06A8" w14:textId="77777777" w:rsidR="00BD597A" w:rsidRPr="003D69E2" w:rsidRDefault="00BD597A" w:rsidP="00BD597A">
      <w:pPr>
        <w:tabs>
          <w:tab w:val="center" w:pos="4252"/>
          <w:tab w:val="right" w:pos="8504"/>
        </w:tabs>
        <w:jc w:val="center"/>
        <w:rPr>
          <w:rFonts w:cs="Arial"/>
          <w:b/>
          <w:sz w:val="22"/>
          <w:szCs w:val="22"/>
          <w:lang w:val="es-ES" w:eastAsia="es-ES"/>
        </w:rPr>
      </w:pPr>
    </w:p>
    <w:p w14:paraId="2BCF3ACB" w14:textId="77777777" w:rsidR="00BD597A" w:rsidRPr="003D69E2" w:rsidRDefault="00BD597A" w:rsidP="00BD597A">
      <w:pPr>
        <w:tabs>
          <w:tab w:val="center" w:pos="4252"/>
          <w:tab w:val="right" w:pos="8504"/>
        </w:tabs>
        <w:jc w:val="center"/>
        <w:rPr>
          <w:rFonts w:cs="Arial"/>
          <w:b/>
          <w:sz w:val="22"/>
          <w:szCs w:val="22"/>
          <w:lang w:val="es-ES" w:eastAsia="es-ES"/>
        </w:rPr>
      </w:pPr>
      <w:r w:rsidRPr="003D69E2">
        <w:rPr>
          <w:rFonts w:cs="Arial"/>
          <w:b/>
          <w:sz w:val="22"/>
          <w:szCs w:val="22"/>
          <w:lang w:val="es-ES" w:eastAsia="es-ES"/>
        </w:rPr>
        <w:t>Modelo de proposición relativa a los criterios evaluables de forma automática</w:t>
      </w:r>
    </w:p>
    <w:p w14:paraId="480F369E" w14:textId="77777777" w:rsidR="00BD597A" w:rsidRPr="003D69E2" w:rsidRDefault="00BD597A" w:rsidP="00BD597A">
      <w:pPr>
        <w:jc w:val="center"/>
        <w:rPr>
          <w:sz w:val="22"/>
          <w:lang w:val="es-ES" w:eastAsia="es-ES"/>
        </w:rPr>
      </w:pPr>
    </w:p>
    <w:p w14:paraId="0AAF2012" w14:textId="77777777" w:rsidR="00BD597A" w:rsidRPr="003D69E2" w:rsidRDefault="00BD597A" w:rsidP="00BD597A">
      <w:pPr>
        <w:rPr>
          <w:sz w:val="22"/>
          <w:lang w:val="es-ES" w:eastAsia="es-ES"/>
        </w:rPr>
      </w:pPr>
      <w:r w:rsidRPr="003D69E2">
        <w:rPr>
          <w:sz w:val="22"/>
          <w:lang w:val="es-ES" w:eastAsia="es-ES"/>
        </w:rPr>
        <w:t>El Sr./La Sra. .......... con NIF n.º .........., en nombre propio / en representación de la empresa .........., CIF n.º .........., domiciliada a .........., CP .........., calle .........., n.º .........., dirección electrónica: .........., enterado/da de las condiciones exigidas para optar a la contratación relativa a (consign</w:t>
      </w:r>
      <w:r>
        <w:rPr>
          <w:sz w:val="22"/>
          <w:lang w:val="es-ES" w:eastAsia="es-ES"/>
        </w:rPr>
        <w:t>ad</w:t>
      </w:r>
      <w:r w:rsidRPr="003D69E2">
        <w:rPr>
          <w:sz w:val="22"/>
          <w:lang w:val="es-ES" w:eastAsia="es-ES"/>
        </w:rPr>
        <w:t xml:space="preserve"> </w:t>
      </w:r>
      <w:r w:rsidRPr="003D69E2">
        <w:rPr>
          <w:i/>
          <w:sz w:val="22"/>
          <w:lang w:val="es-ES" w:eastAsia="es-ES"/>
        </w:rPr>
        <w:t>objeto del contrato y lotes, si procede)</w:t>
      </w:r>
      <w:r w:rsidRPr="003D69E2">
        <w:rPr>
          <w:sz w:val="22"/>
          <w:lang w:val="es-ES" w:eastAsia="es-ES"/>
        </w:rPr>
        <w:t xml:space="preserve"> .........., se compromete a llevarla a cabo con sujeción a los pliegos de prescripciones técnicas particulares y de cláusulas administrativas particulares, que acepta íntegramente:</w:t>
      </w:r>
    </w:p>
    <w:p w14:paraId="7B6E0FC1" w14:textId="77777777" w:rsidR="00BD597A" w:rsidRPr="003D69E2" w:rsidRDefault="00BD597A" w:rsidP="00BD597A">
      <w:pPr>
        <w:rPr>
          <w:sz w:val="22"/>
          <w:lang w:val="es-ES" w:eastAsia="es-ES"/>
        </w:rPr>
      </w:pPr>
    </w:p>
    <w:p w14:paraId="485F4850" w14:textId="77777777" w:rsidR="00BD597A" w:rsidRPr="003D69E2" w:rsidRDefault="00BD597A" w:rsidP="00BD597A">
      <w:pPr>
        <w:numPr>
          <w:ilvl w:val="0"/>
          <w:numId w:val="1"/>
        </w:numPr>
        <w:ind w:left="284" w:hanging="284"/>
        <w:rPr>
          <w:sz w:val="22"/>
          <w:lang w:val="es-ES" w:eastAsia="es-ES"/>
        </w:rPr>
      </w:pPr>
      <w:r w:rsidRPr="003D69E2">
        <w:rPr>
          <w:sz w:val="22"/>
          <w:lang w:val="es-ES" w:eastAsia="es-ES"/>
        </w:rPr>
        <w:t>Proposición económica:</w:t>
      </w:r>
    </w:p>
    <w:p w14:paraId="0A65FFCE" w14:textId="77777777" w:rsidR="00BD597A" w:rsidRPr="003D69E2" w:rsidRDefault="00BD597A" w:rsidP="00BD597A">
      <w:pPr>
        <w:ind w:left="284"/>
        <w:rPr>
          <w:sz w:val="22"/>
          <w:lang w:val="es-ES" w:eastAsia="es-ES"/>
        </w:rPr>
      </w:pPr>
    </w:p>
    <w:p w14:paraId="0613340B" w14:textId="77777777" w:rsidR="00BD597A" w:rsidRPr="003D69E2" w:rsidRDefault="00BD597A" w:rsidP="00BD597A">
      <w:pPr>
        <w:ind w:left="284"/>
        <w:rPr>
          <w:sz w:val="22"/>
          <w:lang w:val="es-ES" w:eastAsia="es-ES"/>
        </w:rPr>
      </w:pPr>
    </w:p>
    <w:p w14:paraId="29C031EF" w14:textId="77777777" w:rsidR="00BD597A" w:rsidRPr="003D69E2" w:rsidRDefault="00BD597A" w:rsidP="00BD597A">
      <w:pPr>
        <w:ind w:left="284"/>
        <w:rPr>
          <w:sz w:val="22"/>
          <w:lang w:val="es-ES" w:eastAsia="es-ES"/>
        </w:rPr>
      </w:pPr>
    </w:p>
    <w:p w14:paraId="4D48708B" w14:textId="77777777" w:rsidR="00BD597A" w:rsidRPr="003D69E2" w:rsidRDefault="00BD597A" w:rsidP="00BD597A">
      <w:pPr>
        <w:ind w:left="284"/>
        <w:rPr>
          <w:sz w:val="22"/>
          <w:lang w:val="es-ES" w:eastAsia="es-ES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418"/>
        <w:gridCol w:w="1559"/>
        <w:gridCol w:w="885"/>
        <w:gridCol w:w="1383"/>
        <w:gridCol w:w="1559"/>
      </w:tblGrid>
      <w:tr w:rsidR="00BD597A" w:rsidRPr="003D69E2" w14:paraId="55E09ECE" w14:textId="77777777" w:rsidTr="00AE30DC">
        <w:trPr>
          <w:trHeight w:val="416"/>
          <w:jc w:val="right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1272B7" w14:textId="77777777" w:rsidR="00BD597A" w:rsidRPr="003D69E2" w:rsidRDefault="00BD597A" w:rsidP="00AE30DC">
            <w:pPr>
              <w:jc w:val="left"/>
              <w:rPr>
                <w:rFonts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C7B7BD" w14:textId="77777777" w:rsidR="00BD597A" w:rsidRPr="003D69E2" w:rsidRDefault="00BD597A" w:rsidP="00AE30DC">
            <w:pPr>
              <w:jc w:val="center"/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OFERTA DEL LICITADOR</w:t>
            </w:r>
          </w:p>
        </w:tc>
      </w:tr>
      <w:tr w:rsidR="00BD597A" w:rsidRPr="003D69E2" w14:paraId="132B771B" w14:textId="77777777" w:rsidTr="00AE30DC">
        <w:trPr>
          <w:jc w:val="right"/>
        </w:trPr>
        <w:tc>
          <w:tcPr>
            <w:tcW w:w="2375" w:type="dxa"/>
            <w:tcBorders>
              <w:top w:val="nil"/>
              <w:left w:val="nil"/>
            </w:tcBorders>
            <w:vAlign w:val="center"/>
          </w:tcPr>
          <w:p w14:paraId="25393A2D" w14:textId="77777777" w:rsidR="00BD597A" w:rsidRPr="003D69E2" w:rsidRDefault="00BD597A" w:rsidP="00AE30DC">
            <w:pPr>
              <w:jc w:val="left"/>
              <w:rPr>
                <w:sz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F79950F" w14:textId="77777777" w:rsidR="00BD597A" w:rsidRPr="003D69E2" w:rsidRDefault="00BD597A" w:rsidP="00AE30DC">
            <w:pPr>
              <w:jc w:val="left"/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Precio unitario máximo</w:t>
            </w:r>
          </w:p>
          <w:p w14:paraId="16582995" w14:textId="77777777" w:rsidR="00BD597A" w:rsidRPr="003D69E2" w:rsidRDefault="00BD597A" w:rsidP="00AE30DC">
            <w:pPr>
              <w:jc w:val="left"/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(IVA excluido)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F3FF765" w14:textId="77777777" w:rsidR="00BD597A" w:rsidRPr="003D69E2" w:rsidRDefault="00BD597A" w:rsidP="00AE30DC">
            <w:pPr>
              <w:jc w:val="left"/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Precio unitario ofrecido</w:t>
            </w:r>
          </w:p>
          <w:p w14:paraId="6402B55B" w14:textId="77777777" w:rsidR="00BD597A" w:rsidRPr="003D69E2" w:rsidRDefault="00BD597A" w:rsidP="00AE30DC">
            <w:pPr>
              <w:jc w:val="left"/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(IVA excluido)</w:t>
            </w:r>
          </w:p>
        </w:tc>
        <w:tc>
          <w:tcPr>
            <w:tcW w:w="885" w:type="dxa"/>
            <w:vAlign w:val="center"/>
          </w:tcPr>
          <w:p w14:paraId="56F451D4" w14:textId="77777777" w:rsidR="00BD597A" w:rsidRPr="003D69E2" w:rsidRDefault="00BD597A" w:rsidP="00AE30DC">
            <w:pPr>
              <w:jc w:val="left"/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Tipo % IVA</w:t>
            </w:r>
          </w:p>
        </w:tc>
        <w:tc>
          <w:tcPr>
            <w:tcW w:w="1383" w:type="dxa"/>
            <w:vAlign w:val="center"/>
          </w:tcPr>
          <w:p w14:paraId="75F40FD3" w14:textId="77777777" w:rsidR="00BD597A" w:rsidRPr="003D69E2" w:rsidRDefault="00BD597A" w:rsidP="00AE30DC">
            <w:pPr>
              <w:jc w:val="left"/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Importe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F0FFB61" w14:textId="77777777" w:rsidR="00BD597A" w:rsidRPr="003D69E2" w:rsidRDefault="00BD597A" w:rsidP="00AE30DC">
            <w:pPr>
              <w:jc w:val="left"/>
              <w:rPr>
                <w:rFonts w:cs="Arial"/>
                <w:sz w:val="22"/>
                <w:szCs w:val="22"/>
                <w:lang w:val="es-ES" w:eastAsia="es-ES"/>
              </w:rPr>
            </w:pPr>
            <w:proofErr w:type="gramStart"/>
            <w:r w:rsidRPr="003D69E2">
              <w:rPr>
                <w:rFonts w:cs="Arial"/>
                <w:sz w:val="22"/>
                <w:szCs w:val="22"/>
                <w:lang w:val="es-ES" w:eastAsia="es-ES"/>
              </w:rPr>
              <w:t>Total</w:t>
            </w:r>
            <w:proofErr w:type="gramEnd"/>
            <w:r w:rsidRPr="003D69E2">
              <w:rPr>
                <w:rFonts w:cs="Arial"/>
                <w:sz w:val="22"/>
                <w:szCs w:val="22"/>
                <w:lang w:val="es-ES" w:eastAsia="es-ES"/>
              </w:rPr>
              <w:t xml:space="preserve"> precio unitario ofrecido (IVA incluido)</w:t>
            </w:r>
          </w:p>
        </w:tc>
      </w:tr>
      <w:tr w:rsidR="00BD597A" w:rsidRPr="003D69E2" w14:paraId="7CD2929E" w14:textId="77777777" w:rsidTr="00AE30DC">
        <w:trPr>
          <w:trHeight w:val="418"/>
          <w:jc w:val="right"/>
        </w:trPr>
        <w:tc>
          <w:tcPr>
            <w:tcW w:w="2375" w:type="dxa"/>
            <w:vAlign w:val="center"/>
          </w:tcPr>
          <w:p w14:paraId="05850980" w14:textId="77777777" w:rsidR="00BD597A" w:rsidRPr="003D69E2" w:rsidRDefault="00BD597A" w:rsidP="00AE30DC">
            <w:pPr>
              <w:jc w:val="left"/>
              <w:rPr>
                <w:rFonts w:cs="Arial"/>
                <w:color w:val="FF0000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b/>
                <w:sz w:val="22"/>
                <w:szCs w:val="22"/>
                <w:lang w:val="es-ES" w:eastAsia="es-ES"/>
              </w:rPr>
              <w:t xml:space="preserve">Hora de mano de obra de trabajos de carrocería, pintura, mecánica y electricidad (y, si </w:t>
            </w:r>
            <w:r>
              <w:rPr>
                <w:rFonts w:cs="Arial"/>
                <w:b/>
                <w:sz w:val="22"/>
                <w:szCs w:val="22"/>
                <w:lang w:val="es-ES" w:eastAsia="es-ES"/>
              </w:rPr>
              <w:t>procede</w:t>
            </w:r>
            <w:r w:rsidRPr="003D69E2">
              <w:rPr>
                <w:rFonts w:cs="Arial"/>
                <w:b/>
                <w:sz w:val="22"/>
                <w:szCs w:val="22"/>
                <w:lang w:val="es-ES" w:eastAsia="es-ES"/>
              </w:rPr>
              <w:t>, servicio de grúa)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BCA19F0" w14:textId="77777777" w:rsidR="00BD597A" w:rsidRPr="003D69E2" w:rsidRDefault="00BD597A" w:rsidP="00AE30DC">
            <w:pPr>
              <w:jc w:val="center"/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55 €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51ECFE" w14:textId="77777777" w:rsidR="00BD597A" w:rsidRPr="003D69E2" w:rsidRDefault="00BD597A" w:rsidP="00AE30DC">
            <w:pPr>
              <w:jc w:val="center"/>
              <w:rPr>
                <w:rFonts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  <w:vAlign w:val="center"/>
          </w:tcPr>
          <w:p w14:paraId="28FDC030" w14:textId="77777777" w:rsidR="00BD597A" w:rsidRPr="003D69E2" w:rsidRDefault="00BD597A" w:rsidP="00AE30DC">
            <w:pPr>
              <w:jc w:val="center"/>
              <w:rPr>
                <w:rFonts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14:paraId="29C2CB47" w14:textId="77777777" w:rsidR="00BD597A" w:rsidRPr="003D69E2" w:rsidRDefault="00BD597A" w:rsidP="00AE30DC">
            <w:pPr>
              <w:jc w:val="center"/>
              <w:rPr>
                <w:rFonts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FD3477" w14:textId="77777777" w:rsidR="00BD597A" w:rsidRPr="003D69E2" w:rsidRDefault="00BD597A" w:rsidP="00AE30DC">
            <w:pPr>
              <w:jc w:val="center"/>
              <w:rPr>
                <w:rFonts w:cs="Arial"/>
                <w:sz w:val="22"/>
                <w:szCs w:val="22"/>
                <w:lang w:val="es-ES" w:eastAsia="es-ES"/>
              </w:rPr>
            </w:pPr>
          </w:p>
        </w:tc>
      </w:tr>
    </w:tbl>
    <w:p w14:paraId="354FABFD" w14:textId="77777777" w:rsidR="00BD597A" w:rsidRPr="003D69E2" w:rsidRDefault="00BD597A" w:rsidP="00BD597A">
      <w:pPr>
        <w:ind w:left="284"/>
        <w:rPr>
          <w:sz w:val="22"/>
          <w:lang w:val="es-ES" w:eastAsia="es-ES"/>
        </w:rPr>
      </w:pPr>
    </w:p>
    <w:p w14:paraId="57A50FF5" w14:textId="77777777" w:rsidR="00BD597A" w:rsidRPr="003D69E2" w:rsidRDefault="00BD597A" w:rsidP="00BD597A">
      <w:pPr>
        <w:ind w:left="284"/>
        <w:rPr>
          <w:sz w:val="22"/>
          <w:lang w:val="es-ES" w:eastAsia="es-ES"/>
        </w:rPr>
      </w:pPr>
    </w:p>
    <w:p w14:paraId="7262099C" w14:textId="77777777" w:rsidR="00BD597A" w:rsidRPr="003D69E2" w:rsidRDefault="00BD597A" w:rsidP="00BD597A">
      <w:pPr>
        <w:rPr>
          <w:sz w:val="6"/>
          <w:szCs w:val="4"/>
          <w:lang w:val="es-ES" w:eastAsia="es-ES"/>
        </w:rPr>
      </w:pPr>
    </w:p>
    <w:p w14:paraId="36179D2F" w14:textId="77777777" w:rsidR="00BD597A" w:rsidRPr="003D69E2" w:rsidRDefault="00BD597A" w:rsidP="00BD597A">
      <w:pPr>
        <w:rPr>
          <w:sz w:val="6"/>
          <w:szCs w:val="4"/>
          <w:lang w:val="es-ES" w:eastAsia="es-ES"/>
        </w:rPr>
      </w:pPr>
    </w:p>
    <w:p w14:paraId="42F5E320" w14:textId="77777777" w:rsidR="00BD597A" w:rsidRPr="003D69E2" w:rsidRDefault="00BD597A" w:rsidP="00BD597A">
      <w:pPr>
        <w:rPr>
          <w:sz w:val="6"/>
          <w:szCs w:val="4"/>
          <w:lang w:val="es-ES" w:eastAsia="es-ES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19"/>
        <w:gridCol w:w="1701"/>
      </w:tblGrid>
      <w:tr w:rsidR="00BD597A" w:rsidRPr="003D69E2" w14:paraId="7BCA940B" w14:textId="77777777" w:rsidTr="00AE30DC">
        <w:tc>
          <w:tcPr>
            <w:tcW w:w="6946" w:type="dxa"/>
            <w:gridSpan w:val="2"/>
            <w:tcBorders>
              <w:top w:val="nil"/>
              <w:left w:val="nil"/>
            </w:tcBorders>
            <w:vAlign w:val="center"/>
          </w:tcPr>
          <w:p w14:paraId="6E170E4D" w14:textId="77777777" w:rsidR="00BD597A" w:rsidRPr="003D69E2" w:rsidRDefault="00BD597A" w:rsidP="00AE30DC">
            <w:pPr>
              <w:rPr>
                <w:rFonts w:cs="Arial"/>
                <w:b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(criterios 2, 3 y 4)</w:t>
            </w:r>
          </w:p>
        </w:tc>
        <w:tc>
          <w:tcPr>
            <w:tcW w:w="1701" w:type="dxa"/>
            <w:vAlign w:val="center"/>
          </w:tcPr>
          <w:p w14:paraId="058C8B59" w14:textId="77777777" w:rsidR="00BD597A" w:rsidRPr="003D69E2" w:rsidRDefault="00BD597A" w:rsidP="00AE30DC">
            <w:pPr>
              <w:jc w:val="center"/>
              <w:rPr>
                <w:rFonts w:cs="Arial"/>
                <w:b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b/>
                <w:sz w:val="22"/>
                <w:szCs w:val="22"/>
                <w:lang w:val="es-ES" w:eastAsia="es-ES"/>
              </w:rPr>
              <w:t>OFERTA DEL LICITADOR</w:t>
            </w:r>
          </w:p>
        </w:tc>
      </w:tr>
      <w:tr w:rsidR="00BD597A" w:rsidRPr="003D69E2" w14:paraId="2BF1D49C" w14:textId="77777777" w:rsidTr="00AE30DC">
        <w:tc>
          <w:tcPr>
            <w:tcW w:w="2127" w:type="dxa"/>
            <w:vAlign w:val="center"/>
          </w:tcPr>
          <w:p w14:paraId="259E6B79" w14:textId="77777777" w:rsidR="00BD597A" w:rsidRPr="003D69E2" w:rsidRDefault="00BD597A" w:rsidP="00AE30DC">
            <w:pPr>
              <w:ind w:left="34"/>
              <w:jc w:val="center"/>
              <w:rPr>
                <w:rFonts w:cs="Arial"/>
                <w:b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b/>
                <w:sz w:val="22"/>
                <w:szCs w:val="22"/>
                <w:lang w:val="es-ES" w:eastAsia="es-ES"/>
              </w:rPr>
              <w:t>Concepto</w:t>
            </w:r>
          </w:p>
        </w:tc>
        <w:tc>
          <w:tcPr>
            <w:tcW w:w="4819" w:type="dxa"/>
            <w:vAlign w:val="center"/>
          </w:tcPr>
          <w:p w14:paraId="498DD600" w14:textId="77777777" w:rsidR="00BD597A" w:rsidRPr="003D69E2" w:rsidRDefault="00BD597A" w:rsidP="00AE30DC">
            <w:pPr>
              <w:jc w:val="center"/>
              <w:rPr>
                <w:rFonts w:cs="Arial"/>
                <w:b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b/>
                <w:sz w:val="22"/>
                <w:szCs w:val="22"/>
                <w:lang w:val="es-ES" w:eastAsia="es-ES"/>
              </w:rPr>
              <w:t>Descripción</w:t>
            </w:r>
          </w:p>
        </w:tc>
        <w:tc>
          <w:tcPr>
            <w:tcW w:w="1701" w:type="dxa"/>
            <w:vAlign w:val="center"/>
          </w:tcPr>
          <w:p w14:paraId="61579E0E" w14:textId="77777777" w:rsidR="00BD597A" w:rsidRPr="003D69E2" w:rsidRDefault="00BD597A" w:rsidP="00AE30DC">
            <w:pPr>
              <w:jc w:val="center"/>
              <w:rPr>
                <w:rFonts w:cs="Arial"/>
                <w:b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b/>
                <w:sz w:val="22"/>
                <w:szCs w:val="22"/>
                <w:lang w:val="es-ES" w:eastAsia="es-ES"/>
              </w:rPr>
              <w:t>Porcentaje</w:t>
            </w:r>
          </w:p>
          <w:p w14:paraId="79577A0A" w14:textId="77777777" w:rsidR="00BD597A" w:rsidRPr="003D69E2" w:rsidRDefault="00BD597A" w:rsidP="00AE30DC">
            <w:pPr>
              <w:jc w:val="center"/>
              <w:rPr>
                <w:rFonts w:cs="Arial"/>
                <w:b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b/>
                <w:sz w:val="22"/>
                <w:szCs w:val="22"/>
                <w:lang w:val="es-ES" w:eastAsia="es-ES"/>
              </w:rPr>
              <w:t>de descuento</w:t>
            </w:r>
          </w:p>
        </w:tc>
      </w:tr>
      <w:tr w:rsidR="00BD597A" w:rsidRPr="003D69E2" w14:paraId="773298CD" w14:textId="77777777" w:rsidTr="00AE30DC">
        <w:trPr>
          <w:trHeight w:val="418"/>
        </w:trPr>
        <w:tc>
          <w:tcPr>
            <w:tcW w:w="2127" w:type="dxa"/>
            <w:vAlign w:val="center"/>
          </w:tcPr>
          <w:p w14:paraId="77762BA0" w14:textId="77777777" w:rsidR="00BD597A" w:rsidRPr="003D69E2" w:rsidRDefault="00BD597A" w:rsidP="00AE30DC">
            <w:pPr>
              <w:rPr>
                <w:rFonts w:cs="Arial"/>
                <w:b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b/>
                <w:sz w:val="22"/>
                <w:szCs w:val="22"/>
                <w:lang w:val="es-ES" w:eastAsia="es-ES"/>
              </w:rPr>
              <w:t>Carrocería</w:t>
            </w:r>
          </w:p>
        </w:tc>
        <w:tc>
          <w:tcPr>
            <w:tcW w:w="4819" w:type="dxa"/>
            <w:vAlign w:val="center"/>
          </w:tcPr>
          <w:p w14:paraId="0B7499DB" w14:textId="77777777" w:rsidR="00BD597A" w:rsidRPr="003D69E2" w:rsidRDefault="00BD597A" w:rsidP="00AE30DC">
            <w:pPr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Descuento sobre la tarifa oficial del material original del fabricante del vehículo o marca homologada por el fabricante en el momento del encargo</w:t>
            </w:r>
          </w:p>
        </w:tc>
        <w:tc>
          <w:tcPr>
            <w:tcW w:w="1701" w:type="dxa"/>
            <w:vAlign w:val="center"/>
          </w:tcPr>
          <w:p w14:paraId="133F1C6F" w14:textId="77777777" w:rsidR="00BD597A" w:rsidRPr="003D69E2" w:rsidRDefault="00BD597A" w:rsidP="00AE30DC">
            <w:pPr>
              <w:jc w:val="center"/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 xml:space="preserve"> %</w:t>
            </w:r>
          </w:p>
        </w:tc>
      </w:tr>
      <w:tr w:rsidR="00BD597A" w:rsidRPr="003D69E2" w14:paraId="7C15521A" w14:textId="77777777" w:rsidTr="00AE30DC">
        <w:trPr>
          <w:trHeight w:val="418"/>
        </w:trPr>
        <w:tc>
          <w:tcPr>
            <w:tcW w:w="2127" w:type="dxa"/>
            <w:vAlign w:val="center"/>
          </w:tcPr>
          <w:p w14:paraId="6B1CDF70" w14:textId="77777777" w:rsidR="00BD597A" w:rsidRPr="003D69E2" w:rsidRDefault="00BD597A" w:rsidP="00AE30DC">
            <w:pPr>
              <w:rPr>
                <w:rFonts w:cs="Arial"/>
                <w:b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b/>
                <w:sz w:val="22"/>
                <w:szCs w:val="22"/>
                <w:lang w:val="es-ES" w:eastAsia="es-ES"/>
              </w:rPr>
              <w:t>Mecánica y electricidad</w:t>
            </w:r>
          </w:p>
        </w:tc>
        <w:tc>
          <w:tcPr>
            <w:tcW w:w="4819" w:type="dxa"/>
            <w:vAlign w:val="center"/>
          </w:tcPr>
          <w:p w14:paraId="4DB4CC57" w14:textId="77777777" w:rsidR="00BD597A" w:rsidRPr="003D69E2" w:rsidRDefault="00BD597A" w:rsidP="00AE30DC">
            <w:pPr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Descuento sobre la tarifa oficial del material original del fabricante del vehículo o marca homologada por el fabricante en el momento del encargo.</w:t>
            </w:r>
          </w:p>
        </w:tc>
        <w:tc>
          <w:tcPr>
            <w:tcW w:w="1701" w:type="dxa"/>
            <w:vAlign w:val="center"/>
          </w:tcPr>
          <w:p w14:paraId="2C0FFACD" w14:textId="77777777" w:rsidR="00BD597A" w:rsidRPr="003D69E2" w:rsidRDefault="00BD597A" w:rsidP="00AE30DC">
            <w:pPr>
              <w:jc w:val="center"/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%</w:t>
            </w:r>
          </w:p>
        </w:tc>
      </w:tr>
      <w:tr w:rsidR="00BD597A" w:rsidRPr="003D69E2" w14:paraId="5EC15F3C" w14:textId="77777777" w:rsidTr="00AE30DC">
        <w:trPr>
          <w:trHeight w:val="418"/>
        </w:trPr>
        <w:tc>
          <w:tcPr>
            <w:tcW w:w="2127" w:type="dxa"/>
            <w:vAlign w:val="center"/>
          </w:tcPr>
          <w:p w14:paraId="58FBA229" w14:textId="77777777" w:rsidR="00BD597A" w:rsidRPr="003D69E2" w:rsidRDefault="00BD597A" w:rsidP="00AE30DC">
            <w:pPr>
              <w:rPr>
                <w:rFonts w:cs="Arial"/>
                <w:b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b/>
                <w:sz w:val="22"/>
                <w:szCs w:val="22"/>
                <w:lang w:val="es-ES" w:eastAsia="es-ES"/>
              </w:rPr>
              <w:t>Pintura</w:t>
            </w:r>
          </w:p>
        </w:tc>
        <w:tc>
          <w:tcPr>
            <w:tcW w:w="4819" w:type="dxa"/>
            <w:vAlign w:val="center"/>
          </w:tcPr>
          <w:p w14:paraId="4888DC54" w14:textId="77777777" w:rsidR="00BD597A" w:rsidRPr="003D69E2" w:rsidRDefault="00BD597A" w:rsidP="00AE30DC">
            <w:pPr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Descuento sobre la tarifa oficial del material de pintura homologado por la marca del vehículo en el momento del encargo*</w:t>
            </w:r>
          </w:p>
        </w:tc>
        <w:tc>
          <w:tcPr>
            <w:tcW w:w="1701" w:type="dxa"/>
            <w:vAlign w:val="center"/>
          </w:tcPr>
          <w:p w14:paraId="45796FC3" w14:textId="77777777" w:rsidR="00BD597A" w:rsidRPr="003D69E2" w:rsidRDefault="00BD597A" w:rsidP="00AE30DC">
            <w:pPr>
              <w:jc w:val="center"/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%</w:t>
            </w:r>
          </w:p>
        </w:tc>
      </w:tr>
    </w:tbl>
    <w:p w14:paraId="3B6F6101" w14:textId="77777777" w:rsidR="00BD597A" w:rsidRPr="003D69E2" w:rsidRDefault="00BD597A" w:rsidP="00BD597A">
      <w:pPr>
        <w:rPr>
          <w:rFonts w:cs="Arial"/>
          <w:sz w:val="22"/>
          <w:szCs w:val="22"/>
          <w:lang w:val="es-ES" w:eastAsia="es-ES"/>
        </w:rPr>
      </w:pPr>
    </w:p>
    <w:p w14:paraId="3AE945E5" w14:textId="77777777" w:rsidR="00BD597A" w:rsidRPr="003D69E2" w:rsidRDefault="00BD597A" w:rsidP="00BD597A">
      <w:pPr>
        <w:rPr>
          <w:rFonts w:cs="Arial"/>
          <w:sz w:val="22"/>
          <w:szCs w:val="22"/>
          <w:lang w:val="es-ES" w:eastAsia="es-ES"/>
        </w:rPr>
      </w:pPr>
      <w:r w:rsidRPr="003D69E2">
        <w:rPr>
          <w:rFonts w:cs="Arial"/>
          <w:sz w:val="22"/>
          <w:szCs w:val="22"/>
          <w:lang w:val="es-ES" w:eastAsia="es-ES"/>
        </w:rPr>
        <w:t>*Se considerará como tarifa oficial la establecida al módulo correspondiente de la aplicación informática GT Motiv</w:t>
      </w:r>
      <w:r>
        <w:rPr>
          <w:rFonts w:cs="Arial"/>
          <w:sz w:val="22"/>
          <w:szCs w:val="22"/>
          <w:lang w:val="es-ES" w:eastAsia="es-ES"/>
        </w:rPr>
        <w:t>e</w:t>
      </w:r>
      <w:r w:rsidRPr="003D69E2">
        <w:rPr>
          <w:rFonts w:cs="Arial"/>
          <w:sz w:val="22"/>
          <w:szCs w:val="22"/>
          <w:lang w:val="es-ES" w:eastAsia="es-ES"/>
        </w:rPr>
        <w:t>, que es el programa de referencia en España utilizado tanto por las compañías aseguradoras como por los talleres de carrocería y pintura para realizar la peritación de los vehículos siniestrados.</w:t>
      </w:r>
    </w:p>
    <w:p w14:paraId="222B3690" w14:textId="77777777" w:rsidR="00BD597A" w:rsidRPr="003D69E2" w:rsidRDefault="00BD597A" w:rsidP="00BD597A">
      <w:pPr>
        <w:ind w:left="567"/>
        <w:rPr>
          <w:rFonts w:cs="Arial"/>
          <w:sz w:val="22"/>
          <w:szCs w:val="22"/>
          <w:lang w:val="es-ES" w:eastAsia="es-ES"/>
        </w:rPr>
      </w:pPr>
    </w:p>
    <w:p w14:paraId="6ED8FA04" w14:textId="77777777" w:rsidR="00BD597A" w:rsidRPr="003D69E2" w:rsidRDefault="00BD597A" w:rsidP="00BD597A">
      <w:pPr>
        <w:ind w:left="567"/>
        <w:rPr>
          <w:rFonts w:cs="Arial"/>
          <w:sz w:val="22"/>
          <w:szCs w:val="22"/>
          <w:lang w:val="es-ES" w:eastAsia="es-ES"/>
        </w:rPr>
      </w:pPr>
    </w:p>
    <w:p w14:paraId="14FC6524" w14:textId="77777777" w:rsidR="00BD597A" w:rsidRPr="003D69E2" w:rsidRDefault="00BD597A" w:rsidP="00BD597A">
      <w:pPr>
        <w:numPr>
          <w:ilvl w:val="0"/>
          <w:numId w:val="2"/>
        </w:numPr>
        <w:ind w:left="426"/>
        <w:rPr>
          <w:rFonts w:cs="Arial"/>
          <w:b/>
          <w:sz w:val="22"/>
          <w:szCs w:val="22"/>
          <w:lang w:val="es-ES" w:eastAsia="es-ES"/>
        </w:rPr>
      </w:pPr>
      <w:r w:rsidRPr="003D69E2">
        <w:rPr>
          <w:rFonts w:cs="Arial"/>
          <w:b/>
          <w:sz w:val="22"/>
          <w:szCs w:val="22"/>
          <w:lang w:val="es-ES" w:eastAsia="es-ES"/>
        </w:rPr>
        <w:t>Proposición técnica de criterios automáticos:</w:t>
      </w:r>
    </w:p>
    <w:p w14:paraId="31C0C8F5" w14:textId="77777777" w:rsidR="00BD597A" w:rsidRPr="003D69E2" w:rsidRDefault="00BD597A" w:rsidP="00BD597A">
      <w:pPr>
        <w:ind w:left="426"/>
        <w:rPr>
          <w:rFonts w:cs="Arial"/>
          <w:b/>
          <w:sz w:val="22"/>
          <w:szCs w:val="22"/>
          <w:lang w:val="es-ES" w:eastAsia="es-ES"/>
        </w:rPr>
      </w:pPr>
    </w:p>
    <w:p w14:paraId="6FBF543D" w14:textId="77777777" w:rsidR="00BD597A" w:rsidRPr="003D69E2" w:rsidRDefault="00BD597A" w:rsidP="00BD597A">
      <w:pPr>
        <w:ind w:left="567"/>
        <w:rPr>
          <w:rFonts w:cs="Arial"/>
          <w:sz w:val="22"/>
          <w:szCs w:val="22"/>
          <w:lang w:val="es-ES" w:eastAsia="es-ES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19"/>
        <w:gridCol w:w="1701"/>
      </w:tblGrid>
      <w:tr w:rsidR="00BD597A" w:rsidRPr="003D69E2" w14:paraId="197620AC" w14:textId="77777777" w:rsidTr="00AE30DC">
        <w:tc>
          <w:tcPr>
            <w:tcW w:w="6946" w:type="dxa"/>
            <w:gridSpan w:val="2"/>
            <w:tcBorders>
              <w:top w:val="nil"/>
              <w:left w:val="nil"/>
            </w:tcBorders>
            <w:vAlign w:val="center"/>
          </w:tcPr>
          <w:p w14:paraId="1A0F99C1" w14:textId="77777777" w:rsidR="00BD597A" w:rsidRDefault="00BD597A" w:rsidP="00AE30DC">
            <w:pPr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(Cláusula 1.11 - criterio 5)</w:t>
            </w:r>
          </w:p>
          <w:p w14:paraId="638A42AC" w14:textId="77777777" w:rsidR="00BD597A" w:rsidRDefault="00BD597A" w:rsidP="00AE30DC">
            <w:pPr>
              <w:rPr>
                <w:rFonts w:cs="Arial"/>
                <w:sz w:val="22"/>
                <w:szCs w:val="22"/>
                <w:lang w:val="es-ES" w:eastAsia="es-ES"/>
              </w:rPr>
            </w:pPr>
          </w:p>
          <w:p w14:paraId="4A2CBE37" w14:textId="77777777" w:rsidR="00BD597A" w:rsidRPr="003D69E2" w:rsidRDefault="00BD597A" w:rsidP="00AE30DC">
            <w:pPr>
              <w:rPr>
                <w:rFonts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14:paraId="318A15E1" w14:textId="77777777" w:rsidR="00BD597A" w:rsidRPr="003D69E2" w:rsidRDefault="00BD597A" w:rsidP="00AE30DC">
            <w:pPr>
              <w:jc w:val="center"/>
              <w:rPr>
                <w:rFonts w:cs="Arial"/>
                <w:b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b/>
                <w:sz w:val="22"/>
                <w:szCs w:val="22"/>
                <w:lang w:val="es-ES" w:eastAsia="es-ES"/>
              </w:rPr>
              <w:t>OFERTA DEL LICITADOR</w:t>
            </w:r>
          </w:p>
        </w:tc>
      </w:tr>
      <w:tr w:rsidR="00BD597A" w:rsidRPr="003D69E2" w14:paraId="7FFAD3C8" w14:textId="77777777" w:rsidTr="00AE30DC">
        <w:tc>
          <w:tcPr>
            <w:tcW w:w="2127" w:type="dxa"/>
            <w:vAlign w:val="center"/>
          </w:tcPr>
          <w:p w14:paraId="63D02858" w14:textId="77777777" w:rsidR="00BD597A" w:rsidRPr="003D69E2" w:rsidRDefault="00BD597A" w:rsidP="00AE30DC">
            <w:pPr>
              <w:jc w:val="center"/>
              <w:rPr>
                <w:rFonts w:cs="Arial"/>
                <w:b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b/>
                <w:sz w:val="22"/>
                <w:szCs w:val="22"/>
                <w:lang w:val="es-ES" w:eastAsia="es-ES"/>
              </w:rPr>
              <w:t>Concepto</w:t>
            </w:r>
          </w:p>
        </w:tc>
        <w:tc>
          <w:tcPr>
            <w:tcW w:w="4819" w:type="dxa"/>
            <w:vAlign w:val="center"/>
          </w:tcPr>
          <w:p w14:paraId="43A8AB35" w14:textId="77777777" w:rsidR="00BD597A" w:rsidRPr="003D69E2" w:rsidRDefault="00BD597A" w:rsidP="00AE30DC">
            <w:pPr>
              <w:jc w:val="center"/>
              <w:rPr>
                <w:rFonts w:cs="Arial"/>
                <w:b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b/>
                <w:sz w:val="22"/>
                <w:szCs w:val="22"/>
                <w:lang w:val="es-ES" w:eastAsia="es-ES"/>
              </w:rPr>
              <w:t>Descripción</w:t>
            </w:r>
          </w:p>
        </w:tc>
        <w:tc>
          <w:tcPr>
            <w:tcW w:w="1701" w:type="dxa"/>
            <w:vAlign w:val="center"/>
          </w:tcPr>
          <w:p w14:paraId="38BCF808" w14:textId="77777777" w:rsidR="00BD597A" w:rsidRPr="003D69E2" w:rsidRDefault="00BD597A" w:rsidP="00AE30DC">
            <w:pPr>
              <w:jc w:val="center"/>
              <w:rPr>
                <w:rFonts w:cs="Arial"/>
                <w:b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b/>
                <w:sz w:val="22"/>
                <w:szCs w:val="22"/>
                <w:lang w:val="es-ES" w:eastAsia="es-ES"/>
              </w:rPr>
              <w:t>Plazo total</w:t>
            </w:r>
          </w:p>
          <w:p w14:paraId="44841456" w14:textId="77777777" w:rsidR="00BD597A" w:rsidRPr="003D69E2" w:rsidRDefault="00BD597A" w:rsidP="00AE30DC">
            <w:pPr>
              <w:jc w:val="center"/>
              <w:rPr>
                <w:rFonts w:cs="Arial"/>
                <w:b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b/>
                <w:sz w:val="22"/>
                <w:szCs w:val="22"/>
                <w:lang w:val="es-ES" w:eastAsia="es-ES"/>
              </w:rPr>
              <w:t>de garantía</w:t>
            </w:r>
          </w:p>
          <w:p w14:paraId="1A0D0162" w14:textId="77777777" w:rsidR="00BD597A" w:rsidRPr="003D69E2" w:rsidRDefault="00BD597A" w:rsidP="00AE30DC">
            <w:pPr>
              <w:jc w:val="center"/>
              <w:rPr>
                <w:rFonts w:cs="Arial"/>
                <w:b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b/>
                <w:sz w:val="22"/>
                <w:szCs w:val="22"/>
                <w:lang w:val="es-ES" w:eastAsia="es-ES"/>
              </w:rPr>
              <w:t>de las reparaciones (en meses)</w:t>
            </w:r>
          </w:p>
        </w:tc>
      </w:tr>
      <w:tr w:rsidR="00BD597A" w:rsidRPr="003D69E2" w14:paraId="0381841F" w14:textId="77777777" w:rsidTr="00AE30DC">
        <w:trPr>
          <w:trHeight w:val="418"/>
        </w:trPr>
        <w:tc>
          <w:tcPr>
            <w:tcW w:w="2127" w:type="dxa"/>
            <w:vAlign w:val="center"/>
          </w:tcPr>
          <w:p w14:paraId="549B8EED" w14:textId="77777777" w:rsidR="00BD597A" w:rsidRPr="003D69E2" w:rsidRDefault="00BD597A" w:rsidP="00AE30DC">
            <w:pPr>
              <w:jc w:val="left"/>
              <w:rPr>
                <w:rFonts w:cs="Arial"/>
                <w:b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b/>
                <w:sz w:val="22"/>
                <w:szCs w:val="22"/>
                <w:lang w:val="es-ES" w:eastAsia="es-ES"/>
              </w:rPr>
              <w:t>Plazo de garantía de las reparaciones</w:t>
            </w:r>
          </w:p>
        </w:tc>
        <w:tc>
          <w:tcPr>
            <w:tcW w:w="4819" w:type="dxa"/>
            <w:vAlign w:val="center"/>
          </w:tcPr>
          <w:p w14:paraId="6EC6E9E5" w14:textId="77777777" w:rsidR="00BD597A" w:rsidRPr="003D69E2" w:rsidRDefault="00BD597A" w:rsidP="00AE30DC">
            <w:pPr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Plazo total de garantía de las reparaciones</w:t>
            </w:r>
          </w:p>
          <w:p w14:paraId="6007E130" w14:textId="77777777" w:rsidR="00BD597A" w:rsidRPr="003D69E2" w:rsidRDefault="00BD597A" w:rsidP="00AE30DC">
            <w:pPr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(6 meses obligatorio según cláusula 2.9 del PCAP )</w:t>
            </w:r>
          </w:p>
        </w:tc>
        <w:tc>
          <w:tcPr>
            <w:tcW w:w="1701" w:type="dxa"/>
            <w:vAlign w:val="center"/>
          </w:tcPr>
          <w:p w14:paraId="2956D6F7" w14:textId="77777777" w:rsidR="00BD597A" w:rsidRPr="003D69E2" w:rsidRDefault="00BD597A" w:rsidP="00AE30DC">
            <w:pPr>
              <w:jc w:val="right"/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.......... meses</w:t>
            </w:r>
          </w:p>
        </w:tc>
      </w:tr>
    </w:tbl>
    <w:p w14:paraId="1AB64A31" w14:textId="77777777" w:rsidR="00BD597A" w:rsidRPr="003D69E2" w:rsidRDefault="00BD597A" w:rsidP="00BD597A">
      <w:pPr>
        <w:rPr>
          <w:rFonts w:cs="Arial"/>
          <w:sz w:val="22"/>
          <w:lang w:val="es-ES" w:eastAsia="es-ES"/>
        </w:rPr>
      </w:pPr>
    </w:p>
    <w:p w14:paraId="5E4904BA" w14:textId="77777777" w:rsidR="00BD597A" w:rsidRDefault="00BD597A" w:rsidP="00BD597A">
      <w:pPr>
        <w:rPr>
          <w:rFonts w:cs="Arial"/>
          <w:sz w:val="22"/>
          <w:szCs w:val="22"/>
          <w:lang w:val="es-ES" w:eastAsia="es-ES"/>
        </w:rPr>
      </w:pPr>
    </w:p>
    <w:p w14:paraId="66443E6A" w14:textId="77777777" w:rsidR="00BD597A" w:rsidRPr="003D69E2" w:rsidRDefault="00BD597A" w:rsidP="00BD597A">
      <w:pPr>
        <w:rPr>
          <w:rFonts w:cs="Arial"/>
          <w:sz w:val="22"/>
          <w:szCs w:val="22"/>
          <w:lang w:val="es-ES" w:eastAsia="es-ES"/>
        </w:rPr>
      </w:pPr>
      <w:r w:rsidRPr="003D69E2">
        <w:rPr>
          <w:rFonts w:cs="Arial"/>
          <w:sz w:val="22"/>
          <w:szCs w:val="22"/>
          <w:lang w:val="es-ES" w:eastAsia="es-ES"/>
        </w:rPr>
        <w:t>(Cláusula 1.11 - criterio 6)</w:t>
      </w:r>
    </w:p>
    <w:p w14:paraId="631B58BD" w14:textId="77777777" w:rsidR="00BD597A" w:rsidRPr="003D69E2" w:rsidRDefault="00BD597A" w:rsidP="00BD597A">
      <w:pPr>
        <w:rPr>
          <w:color w:val="3366FF"/>
          <w:sz w:val="22"/>
          <w:lang w:val="es-ES" w:eastAsia="es-ES"/>
        </w:rPr>
      </w:pPr>
    </w:p>
    <w:p w14:paraId="2B283F53" w14:textId="77777777" w:rsidR="00BD597A" w:rsidRPr="003D69E2" w:rsidRDefault="00BD597A" w:rsidP="00BD597A">
      <w:pPr>
        <w:rPr>
          <w:i/>
          <w:iCs/>
          <w:sz w:val="22"/>
          <w:lang w:val="es-ES" w:eastAsia="es-ES"/>
        </w:rPr>
      </w:pPr>
    </w:p>
    <w:p w14:paraId="421225E0" w14:textId="77777777" w:rsidR="00BD597A" w:rsidRPr="003D69E2" w:rsidRDefault="00BD597A" w:rsidP="00BD597A">
      <w:pPr>
        <w:rPr>
          <w:rFonts w:cs="Arial"/>
          <w:b/>
          <w:bCs/>
          <w:sz w:val="22"/>
          <w:szCs w:val="22"/>
          <w:lang w:val="es-ES" w:eastAsia="es-ES"/>
        </w:rPr>
      </w:pPr>
      <w:r w:rsidRPr="003D69E2">
        <w:rPr>
          <w:rFonts w:cs="Arial"/>
          <w:b/>
          <w:bCs/>
          <w:sz w:val="22"/>
          <w:szCs w:val="22"/>
          <w:lang w:val="es-ES" w:eastAsia="es-ES"/>
        </w:rPr>
        <w:t>Plazo máximo de reparaciones de carrocería y pintura</w:t>
      </w:r>
    </w:p>
    <w:p w14:paraId="4D43CA3B" w14:textId="77777777" w:rsidR="00BD597A" w:rsidRPr="003D69E2" w:rsidRDefault="00BD597A" w:rsidP="00BD597A">
      <w:pPr>
        <w:rPr>
          <w:i/>
          <w:iCs/>
          <w:sz w:val="22"/>
          <w:lang w:val="es-ES" w:eastAsia="es-ES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976"/>
      </w:tblGrid>
      <w:tr w:rsidR="00BD597A" w:rsidRPr="003D69E2" w14:paraId="15EB500B" w14:textId="77777777" w:rsidTr="00AE30DC">
        <w:trPr>
          <w:trHeight w:val="21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B21AB1" w14:textId="77777777" w:rsidR="00BD597A" w:rsidRPr="003D69E2" w:rsidRDefault="00BD597A" w:rsidP="00AE30DC">
            <w:pPr>
              <w:jc w:val="left"/>
              <w:rPr>
                <w:rFonts w:cs="Arial"/>
                <w:b/>
                <w:sz w:val="22"/>
                <w:lang w:val="es-ES" w:eastAsia="en-US"/>
              </w:rPr>
            </w:pPr>
            <w:r w:rsidRPr="003D69E2">
              <w:rPr>
                <w:rFonts w:cs="Arial"/>
                <w:b/>
                <w:sz w:val="22"/>
                <w:lang w:val="es-ES" w:eastAsia="en-US"/>
              </w:rPr>
              <w:t>Plazo máximo de reparaciones ordinarias</w:t>
            </w:r>
          </w:p>
          <w:p w14:paraId="17B6C94D" w14:textId="77777777" w:rsidR="00BD597A" w:rsidRPr="003D69E2" w:rsidRDefault="00BD597A" w:rsidP="00AE30DC">
            <w:pPr>
              <w:jc w:val="left"/>
              <w:rPr>
                <w:rFonts w:cs="Arial"/>
                <w:sz w:val="22"/>
                <w:szCs w:val="22"/>
                <w:lang w:val="es-ES" w:eastAsia="es-ES"/>
              </w:rPr>
            </w:pPr>
            <w:r w:rsidRPr="009D1864">
              <w:rPr>
                <w:rFonts w:cs="Arial"/>
                <w:bCs/>
                <w:sz w:val="22"/>
                <w:lang w:val="es-ES" w:eastAsia="en-US"/>
              </w:rPr>
              <w:t>(</w:t>
            </w:r>
            <w:r w:rsidRPr="003D69E2">
              <w:rPr>
                <w:rFonts w:cs="Arial"/>
                <w:sz w:val="22"/>
                <w:szCs w:val="22"/>
                <w:lang w:val="es-ES" w:eastAsia="es-ES"/>
              </w:rPr>
              <w:t>17 días hábiles</w:t>
            </w:r>
            <w:r>
              <w:rPr>
                <w:rFonts w:cs="Arial"/>
                <w:sz w:val="22"/>
                <w:szCs w:val="22"/>
                <w:lang w:val="es-ES" w:eastAsia="es-ES"/>
              </w:rPr>
              <w:t>,</w:t>
            </w:r>
            <w:r w:rsidRPr="003D69E2">
              <w:rPr>
                <w:rFonts w:cs="Arial"/>
                <w:sz w:val="22"/>
                <w:szCs w:val="22"/>
                <w:lang w:val="es-ES" w:eastAsia="es-ES"/>
              </w:rPr>
              <w:t xml:space="preserve"> máximo obligatorio punto 4 PPT)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55002" w14:textId="77777777" w:rsidR="00BD597A" w:rsidRPr="003D69E2" w:rsidRDefault="00BD597A" w:rsidP="00AE30DC">
            <w:pPr>
              <w:rPr>
                <w:rFonts w:cs="Arial"/>
                <w:b/>
                <w:bCs/>
                <w:sz w:val="22"/>
                <w:lang w:val="es-ES" w:eastAsia="es-ES"/>
              </w:rPr>
            </w:pPr>
            <w:r w:rsidRPr="003D69E2">
              <w:rPr>
                <w:rFonts w:cs="Arial"/>
                <w:b/>
                <w:bCs/>
                <w:sz w:val="22"/>
                <w:lang w:val="es-ES" w:eastAsia="es-ES"/>
              </w:rPr>
              <w:t xml:space="preserve">OFERTA DEL LICITADOR </w:t>
            </w:r>
            <w:r w:rsidRPr="003D69E2">
              <w:rPr>
                <w:rFonts w:cs="Arial"/>
                <w:sz w:val="22"/>
                <w:lang w:val="es-ES" w:eastAsia="es-ES"/>
              </w:rPr>
              <w:t>(marcar solo una opción)*</w:t>
            </w:r>
          </w:p>
        </w:tc>
      </w:tr>
      <w:tr w:rsidR="00BD597A" w:rsidRPr="003D69E2" w14:paraId="2D441973" w14:textId="77777777" w:rsidTr="00AE30DC">
        <w:tc>
          <w:tcPr>
            <w:tcW w:w="5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6A7E60" w14:textId="77777777" w:rsidR="00BD597A" w:rsidRPr="003D69E2" w:rsidRDefault="00BD597A" w:rsidP="00AE30DC">
            <w:pPr>
              <w:ind w:left="142" w:hanging="142"/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 xml:space="preserve">14 días hábiles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7F148C" w14:textId="77777777" w:rsidR="00BD597A" w:rsidRPr="003D69E2" w:rsidRDefault="00BD597A" w:rsidP="00AE30DC">
            <w:pPr>
              <w:rPr>
                <w:sz w:val="22"/>
                <w:szCs w:val="22"/>
                <w:lang w:val="es-ES" w:eastAsia="es-ES"/>
              </w:rPr>
            </w:pPr>
          </w:p>
        </w:tc>
      </w:tr>
      <w:tr w:rsidR="00BD597A" w:rsidRPr="003D69E2" w14:paraId="4C51B120" w14:textId="77777777" w:rsidTr="00AE30DC">
        <w:tc>
          <w:tcPr>
            <w:tcW w:w="5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911B68" w14:textId="77777777" w:rsidR="00BD597A" w:rsidRPr="003D69E2" w:rsidRDefault="00BD597A" w:rsidP="00AE30DC">
            <w:pPr>
              <w:ind w:left="142" w:hanging="142"/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10 días hábiles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D53B52" w14:textId="77777777" w:rsidR="00BD597A" w:rsidRPr="003D69E2" w:rsidRDefault="00BD597A" w:rsidP="00AE30DC">
            <w:pPr>
              <w:rPr>
                <w:sz w:val="22"/>
                <w:szCs w:val="22"/>
                <w:lang w:val="es-ES" w:eastAsia="es-ES"/>
              </w:rPr>
            </w:pPr>
          </w:p>
        </w:tc>
      </w:tr>
    </w:tbl>
    <w:p w14:paraId="7504E786" w14:textId="77777777" w:rsidR="00BD597A" w:rsidRPr="003D69E2" w:rsidRDefault="00BD597A" w:rsidP="00BD597A">
      <w:pPr>
        <w:rPr>
          <w:rFonts w:cs="Arial"/>
          <w:b/>
          <w:bCs/>
          <w:sz w:val="22"/>
          <w:szCs w:val="22"/>
          <w:u w:val="single"/>
          <w:lang w:val="es-ES" w:eastAsia="es-ES"/>
        </w:rPr>
      </w:pPr>
    </w:p>
    <w:p w14:paraId="5832E3C8" w14:textId="77777777" w:rsidR="00BD597A" w:rsidRPr="003D69E2" w:rsidRDefault="00BD597A" w:rsidP="00BD597A">
      <w:pPr>
        <w:rPr>
          <w:i/>
          <w:iCs/>
          <w:sz w:val="22"/>
          <w:lang w:val="es-ES" w:eastAsia="es-ES"/>
        </w:rPr>
      </w:pPr>
      <w:r w:rsidRPr="003D69E2">
        <w:rPr>
          <w:i/>
          <w:iCs/>
          <w:sz w:val="22"/>
          <w:lang w:val="es-ES" w:eastAsia="es-ES"/>
        </w:rPr>
        <w:t>*En caso de que no mar</w:t>
      </w:r>
      <w:r>
        <w:rPr>
          <w:i/>
          <w:iCs/>
          <w:sz w:val="22"/>
          <w:lang w:val="es-ES" w:eastAsia="es-ES"/>
        </w:rPr>
        <w:t>quéis</w:t>
      </w:r>
      <w:r w:rsidRPr="003D69E2">
        <w:rPr>
          <w:i/>
          <w:iCs/>
          <w:sz w:val="22"/>
          <w:lang w:val="es-ES" w:eastAsia="es-ES"/>
        </w:rPr>
        <w:t xml:space="preserve"> ninguna opción o marcáis más de una obtendréis 0 puntos.</w:t>
      </w:r>
    </w:p>
    <w:p w14:paraId="33596346" w14:textId="77777777" w:rsidR="00BD597A" w:rsidRPr="003D69E2" w:rsidRDefault="00BD597A" w:rsidP="00BD597A">
      <w:pPr>
        <w:rPr>
          <w:rFonts w:cs="Arial"/>
          <w:b/>
          <w:bCs/>
          <w:sz w:val="22"/>
          <w:szCs w:val="22"/>
          <w:u w:val="single"/>
          <w:lang w:val="es-ES" w:eastAsia="es-ES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976"/>
      </w:tblGrid>
      <w:tr w:rsidR="00BD597A" w:rsidRPr="003D69E2" w14:paraId="384CCF51" w14:textId="77777777" w:rsidTr="00AE30DC">
        <w:trPr>
          <w:trHeight w:val="21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7423253" w14:textId="77777777" w:rsidR="00BD597A" w:rsidRPr="003D69E2" w:rsidRDefault="00BD597A" w:rsidP="00AE30DC">
            <w:pPr>
              <w:jc w:val="left"/>
              <w:rPr>
                <w:rFonts w:cs="Arial"/>
                <w:b/>
                <w:sz w:val="22"/>
                <w:lang w:val="es-ES" w:eastAsia="en-US"/>
              </w:rPr>
            </w:pPr>
            <w:r w:rsidRPr="003D69E2">
              <w:rPr>
                <w:rFonts w:cs="Arial"/>
                <w:b/>
                <w:sz w:val="22"/>
                <w:lang w:val="es-ES" w:eastAsia="en-US"/>
              </w:rPr>
              <w:t>Plazo máximo de reparaciones prioritarias</w:t>
            </w:r>
          </w:p>
          <w:p w14:paraId="11914EFB" w14:textId="77777777" w:rsidR="00BD597A" w:rsidRPr="003D69E2" w:rsidRDefault="00BD597A" w:rsidP="00AE30DC">
            <w:pPr>
              <w:jc w:val="left"/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>(7 días hábiles</w:t>
            </w:r>
            <w:r>
              <w:rPr>
                <w:rFonts w:cs="Arial"/>
                <w:sz w:val="22"/>
                <w:szCs w:val="22"/>
                <w:lang w:val="es-ES" w:eastAsia="es-ES"/>
              </w:rPr>
              <w:t>,</w:t>
            </w:r>
            <w:r w:rsidRPr="003D69E2">
              <w:rPr>
                <w:rFonts w:cs="Arial"/>
                <w:sz w:val="22"/>
                <w:szCs w:val="22"/>
                <w:lang w:val="es-ES" w:eastAsia="es-ES"/>
              </w:rPr>
              <w:t xml:space="preserve"> máximo obligatorio punto 4 PPT)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8FA8D6" w14:textId="77777777" w:rsidR="00BD597A" w:rsidRPr="003D69E2" w:rsidRDefault="00BD597A" w:rsidP="00AE30DC">
            <w:pPr>
              <w:rPr>
                <w:rFonts w:cs="Arial"/>
                <w:b/>
                <w:bCs/>
                <w:sz w:val="22"/>
                <w:lang w:val="es-ES" w:eastAsia="es-ES"/>
              </w:rPr>
            </w:pPr>
            <w:r w:rsidRPr="003D69E2">
              <w:rPr>
                <w:rFonts w:cs="Arial"/>
                <w:b/>
                <w:bCs/>
                <w:sz w:val="22"/>
                <w:lang w:val="es-ES" w:eastAsia="es-ES"/>
              </w:rPr>
              <w:t xml:space="preserve">OFERTA DEL LICITADOR </w:t>
            </w:r>
            <w:r w:rsidRPr="003D69E2">
              <w:rPr>
                <w:rFonts w:cs="Arial"/>
                <w:sz w:val="22"/>
                <w:lang w:val="es-ES" w:eastAsia="es-ES"/>
              </w:rPr>
              <w:t>(marcar la</w:t>
            </w:r>
            <w:r>
              <w:rPr>
                <w:rFonts w:cs="Arial"/>
                <w:sz w:val="22"/>
                <w:lang w:val="es-ES" w:eastAsia="es-ES"/>
              </w:rPr>
              <w:t xml:space="preserve"> </w:t>
            </w:r>
            <w:r w:rsidRPr="003D69E2">
              <w:rPr>
                <w:rFonts w:cs="Arial"/>
                <w:sz w:val="22"/>
                <w:lang w:val="es-ES" w:eastAsia="es-ES"/>
              </w:rPr>
              <w:t>opción)</w:t>
            </w:r>
          </w:p>
        </w:tc>
      </w:tr>
      <w:tr w:rsidR="00BD597A" w:rsidRPr="003D69E2" w14:paraId="1181C373" w14:textId="77777777" w:rsidTr="00AE30DC">
        <w:tc>
          <w:tcPr>
            <w:tcW w:w="5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BA2B64" w14:textId="77777777" w:rsidR="00BD597A" w:rsidRPr="003D69E2" w:rsidRDefault="00BD597A" w:rsidP="00AE30DC">
            <w:pPr>
              <w:ind w:left="142" w:hanging="142"/>
              <w:rPr>
                <w:rFonts w:cs="Arial"/>
                <w:sz w:val="22"/>
                <w:szCs w:val="22"/>
                <w:lang w:val="es-ES" w:eastAsia="es-ES"/>
              </w:rPr>
            </w:pPr>
            <w:r w:rsidRPr="003D69E2">
              <w:rPr>
                <w:rFonts w:cs="Arial"/>
                <w:sz w:val="22"/>
                <w:szCs w:val="22"/>
                <w:lang w:val="es-ES" w:eastAsia="es-ES"/>
              </w:rPr>
              <w:t xml:space="preserve">5 días hábiles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1F9AC9" w14:textId="77777777" w:rsidR="00BD597A" w:rsidRPr="003D69E2" w:rsidRDefault="00BD597A" w:rsidP="00AE30DC">
            <w:pPr>
              <w:rPr>
                <w:sz w:val="22"/>
                <w:szCs w:val="22"/>
                <w:lang w:val="es-ES" w:eastAsia="es-ES"/>
              </w:rPr>
            </w:pPr>
          </w:p>
        </w:tc>
      </w:tr>
    </w:tbl>
    <w:p w14:paraId="3A33CF9F" w14:textId="77777777" w:rsidR="00BD597A" w:rsidRPr="003D69E2" w:rsidRDefault="00BD597A" w:rsidP="00BD597A">
      <w:pPr>
        <w:rPr>
          <w:rFonts w:cs="Arial"/>
          <w:b/>
          <w:bCs/>
          <w:i/>
          <w:iCs/>
          <w:sz w:val="22"/>
          <w:szCs w:val="22"/>
          <w:u w:val="single"/>
          <w:lang w:val="es-ES" w:eastAsia="es-ES"/>
        </w:rPr>
      </w:pPr>
    </w:p>
    <w:p w14:paraId="70B0E41F" w14:textId="77777777" w:rsidR="00BD597A" w:rsidRPr="003D69E2" w:rsidRDefault="00BD597A" w:rsidP="00BD597A">
      <w:pPr>
        <w:rPr>
          <w:i/>
          <w:iCs/>
          <w:sz w:val="22"/>
          <w:lang w:val="es-ES" w:eastAsia="es-ES"/>
        </w:rPr>
      </w:pPr>
      <w:r w:rsidRPr="003D69E2">
        <w:rPr>
          <w:i/>
          <w:iCs/>
          <w:sz w:val="22"/>
          <w:lang w:val="es-ES" w:eastAsia="es-ES"/>
        </w:rPr>
        <w:t>*En caso de que no mar</w:t>
      </w:r>
      <w:r>
        <w:rPr>
          <w:i/>
          <w:iCs/>
          <w:sz w:val="22"/>
          <w:lang w:val="es-ES" w:eastAsia="es-ES"/>
        </w:rPr>
        <w:t>quéis</w:t>
      </w:r>
      <w:r w:rsidRPr="003D69E2">
        <w:rPr>
          <w:i/>
          <w:iCs/>
          <w:sz w:val="22"/>
          <w:lang w:val="es-ES" w:eastAsia="es-ES"/>
        </w:rPr>
        <w:t xml:space="preserve"> la</w:t>
      </w:r>
      <w:r>
        <w:rPr>
          <w:i/>
          <w:iCs/>
          <w:sz w:val="22"/>
          <w:lang w:val="es-ES" w:eastAsia="es-ES"/>
        </w:rPr>
        <w:t xml:space="preserve"> </w:t>
      </w:r>
      <w:r w:rsidRPr="003D69E2">
        <w:rPr>
          <w:i/>
          <w:iCs/>
          <w:sz w:val="22"/>
          <w:lang w:val="es-ES" w:eastAsia="es-ES"/>
        </w:rPr>
        <w:t>opción obtendréis 0 puntos.</w:t>
      </w:r>
    </w:p>
    <w:p w14:paraId="22319FCF" w14:textId="77777777" w:rsidR="00A40AE1" w:rsidRDefault="00A40AE1"/>
    <w:sectPr w:rsidR="00A40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517AD"/>
    <w:multiLevelType w:val="hybridMultilevel"/>
    <w:tmpl w:val="EDCE9A8A"/>
    <w:lvl w:ilvl="0" w:tplc="0403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 w16cid:durableId="722288935">
    <w:abstractNumId w:val="0"/>
  </w:num>
  <w:num w:numId="2" w16cid:durableId="650865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7A"/>
    <w:rsid w:val="00A40AE1"/>
    <w:rsid w:val="00AF2865"/>
    <w:rsid w:val="00BD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A37E"/>
  <w15:chartTrackingRefBased/>
  <w15:docId w15:val="{23903B1E-0FE6-4873-AD29-A8FB2DB1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97A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2023-10-16T06:07:00Z</dcterms:created>
  <dcterms:modified xsi:type="dcterms:W3CDTF">2023-10-16T06:08:00Z</dcterms:modified>
</cp:coreProperties>
</file>