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49" w:leader="none"/>
        </w:tabs>
        <w:spacing w:lineRule="auto" w:line="276"/>
        <w:ind w:left="0" w:right="0" w:hanging="0"/>
        <w:jc w:val="both"/>
        <w:rPr>
          <w:rFonts w:ascii="Arial" w:hAnsi="Arial"/>
          <w:sz w:val="22"/>
          <w:szCs w:val="22"/>
        </w:rPr>
      </w:pPr>
      <w:r>
        <w:rPr>
          <w:rFonts w:cs="Arial" w:ascii="Arial" w:hAnsi="Arial"/>
          <w:b w:val="false"/>
          <w:i/>
          <w:iCs/>
          <w:color w:val="auto"/>
          <w:sz w:val="22"/>
          <w:szCs w:val="22"/>
          <w:highlight w:val="white"/>
          <w:u w:val="none"/>
          <w:lang w:val="ca-ES"/>
        </w:rPr>
        <w:t>“</w:t>
      </w:r>
      <w:r>
        <w:rPr>
          <w:rFonts w:cs="Arial" w:ascii="Arial" w:hAnsi="Arial"/>
          <w:b w:val="false"/>
          <w:i/>
          <w:iCs/>
          <w:color w:val="auto"/>
          <w:sz w:val="22"/>
          <w:szCs w:val="22"/>
          <w:highlight w:val="white"/>
          <w:u w:val="none"/>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i fax núm. .........., opta a la contractació relativa a ...... ( objecte del contracte) ...... i </w:t>
      </w:r>
    </w:p>
    <w:p>
      <w:pPr>
        <w:pStyle w:val="Normal"/>
        <w:tabs>
          <w:tab w:val="clear" w:pos="708"/>
          <w:tab w:val="left" w:pos="449" w:leader="none"/>
        </w:tabs>
        <w:spacing w:lineRule="auto" w:line="276"/>
        <w:ind w:left="0" w:right="0" w:hanging="0"/>
        <w:jc w:val="both"/>
        <w:rPr>
          <w:rFonts w:ascii="Arial" w:hAnsi="Arial" w:cs="Arial"/>
          <w:b w:val="false"/>
          <w:b w:val="false"/>
          <w:i/>
          <w:i/>
          <w:iCs/>
          <w:color w:val="auto"/>
          <w:sz w:val="22"/>
          <w:szCs w:val="22"/>
          <w:highlight w:val="white"/>
          <w:u w:val="none"/>
          <w:lang w:val="ca-ES"/>
        </w:rPr>
      </w:pPr>
      <w:r>
        <w:rPr>
          <w:rFonts w:cs="Arial" w:ascii="Arial" w:hAnsi="Arial"/>
          <w:b w:val="false"/>
          <w:i/>
          <w:iCs/>
          <w:color w:val="auto"/>
          <w:sz w:val="22"/>
          <w:szCs w:val="22"/>
          <w:highlight w:val="white"/>
          <w:u w:val="none"/>
          <w:lang w:val="ca-ES"/>
        </w:rPr>
      </w:r>
    </w:p>
    <w:p>
      <w:pPr>
        <w:pStyle w:val="Normal"/>
        <w:tabs>
          <w:tab w:val="clear" w:pos="708"/>
          <w:tab w:val="left" w:pos="449" w:leader="none"/>
        </w:tabs>
        <w:spacing w:lineRule="auto" w:line="276"/>
        <w:ind w:left="0" w:right="0" w:hanging="0"/>
        <w:jc w:val="both"/>
        <w:rPr>
          <w:rFonts w:ascii="Arial" w:hAnsi="Arial" w:cs="Arial"/>
          <w:b w:val="false"/>
          <w:b w:val="false"/>
          <w:i/>
          <w:i/>
          <w:iCs/>
          <w:color w:val="auto"/>
          <w:sz w:val="22"/>
          <w:szCs w:val="22"/>
          <w:highlight w:val="white"/>
          <w:u w:val="none"/>
          <w:lang w:val="ca-ES"/>
        </w:rPr>
      </w:pPr>
      <w:r>
        <w:rPr>
          <w:rFonts w:cs="Arial" w:ascii="Arial" w:hAnsi="Arial"/>
          <w:b w:val="false"/>
          <w:i/>
          <w:iCs/>
          <w:color w:val="auto"/>
          <w:sz w:val="22"/>
          <w:szCs w:val="22"/>
          <w:highlight w:val="white"/>
          <w:u w:val="none"/>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1"/>
        </w:numPr>
        <w:pBdr/>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 per participar a la licitació i no incorre en cap de les prohibicions de contractar</w:t>
      </w:r>
      <w:r>
        <w:rPr>
          <w:rFonts w:ascii="Arial" w:hAnsi="Arial"/>
          <w:i/>
          <w:iCs/>
          <w:color w:val="000000"/>
          <w:sz w:val="22"/>
          <w:szCs w:val="22"/>
          <w:lang w:val="ca-ES"/>
        </w:rPr>
        <w:t xml:space="preserve"> amb l'Administració. </w:t>
      </w:r>
    </w:p>
    <w:p>
      <w:pPr>
        <w:pStyle w:val="Cosdeltext"/>
        <w:numPr>
          <w:ilvl w:val="0"/>
          <w:numId w:val="1"/>
        </w:numPr>
        <w:pBdr/>
        <w:spacing w:lineRule="auto" w:line="276" w:before="0" w:after="0"/>
        <w:ind w:left="0" w:right="0" w:hanging="0"/>
        <w:jc w:val="both"/>
        <w:rPr>
          <w:rFonts w:ascii="Arial" w:hAnsi="Arial" w:eastAsia="Helv;Arial" w:cs="Arial"/>
          <w:b w:val="false"/>
          <w:b w:val="false"/>
          <w:i/>
          <w:i/>
          <w:iCs/>
          <w:color w:val="auto"/>
          <w:sz w:val="22"/>
          <w:szCs w:val="22"/>
          <w:u w:val="none"/>
          <w:lang w:val="ca-ES"/>
        </w:rPr>
      </w:pPr>
      <w:r>
        <w:rPr>
          <w:rFonts w:eastAsia="Helv;Arial" w:cs="Arial" w:ascii="Arial" w:hAnsi="Arial"/>
          <w:b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eastAsia="Helv;Arial" w:cs="Arial" w:ascii="Arial" w:hAnsi="Arial"/>
          <w:b w:val="false"/>
          <w:i/>
          <w:iCs/>
          <w:color w:val="auto"/>
          <w:sz w:val="22"/>
          <w:szCs w:val="22"/>
          <w:u w:val="none"/>
          <w:lang w:val="ca-ES"/>
        </w:rPr>
        <w:t xml:space="preserve">2- Que </w:t>
      </w:r>
      <w:r>
        <w:rPr>
          <w:rFonts w:eastAsia="Helv;Arial" w:cs="Arial" w:ascii="Arial" w:hAnsi="Arial"/>
          <w:b w:val="false"/>
          <w:i/>
          <w:iCs/>
          <w:color w:val="auto"/>
          <w:sz w:val="22"/>
          <w:szCs w:val="22"/>
          <w:u w:val="single"/>
          <w:lang w:val="ca-ES"/>
        </w:rPr>
        <w:t>disposa de la so</w:t>
      </w:r>
      <w:r>
        <w:rPr>
          <w:rFonts w:eastAsia="Arial" w:cs="Arial" w:ascii="Arial" w:hAnsi="Arial"/>
          <w:b w:val="false"/>
          <w:bCs w:val="false"/>
          <w:i/>
          <w:iCs/>
          <w:color w:val="auto"/>
          <w:sz w:val="22"/>
          <w:szCs w:val="22"/>
          <w:u w:val="single"/>
          <w:lang w:val="ca-ES"/>
        </w:rPr>
        <w:t>lvència</w:t>
      </w:r>
      <w:r>
        <w:rPr>
          <w:rFonts w:eastAsia="Arial" w:cs="Arial" w:ascii="Arial" w:hAnsi="Arial"/>
          <w:b w:val="false"/>
          <w:bCs w:val="false"/>
          <w:i/>
          <w:iCs/>
          <w:color w:val="auto"/>
          <w:sz w:val="22"/>
          <w:szCs w:val="22"/>
          <w:u w:val="none"/>
          <w:lang w:val="ca-ES"/>
        </w:rPr>
        <w:t xml:space="preserve"> indicada en la clàusula 8 per participar en la present licitació.</w:t>
      </w:r>
    </w:p>
    <w:p>
      <w:pPr>
        <w:pStyle w:val="Cosdeltext"/>
        <w:numPr>
          <w:ilvl w:val="0"/>
          <w:numId w:val="1"/>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eastAsia="Arial" w:cs="Arial" w:ascii="Arial" w:hAnsi="Arial"/>
          <w:b w:val="false"/>
          <w:bCs w:val="false"/>
          <w:i/>
          <w:iCs/>
          <w:color w:val="auto"/>
          <w:sz w:val="22"/>
          <w:szCs w:val="22"/>
          <w:u w:val="none"/>
          <w:lang w:val="ca-ES"/>
        </w:rPr>
        <w:t>3.-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4.-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1"/>
        </w:numPr>
        <w:pBdr/>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5.-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6.- Que, de conformitat amb el que estableix l'art. 150.2 de la LCSP, autoritza a l'Ajuntament de Granollers per que pugui obtenir directament, davant de les Administracions competents, els certificats acreditatius del compliment de les obligacions tributaries i amb la Seguretat Social. </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7.- 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eastAsia="Arial" w:cs="Arial"/>
          <w:b w:val="false"/>
          <w:b w:val="false"/>
          <w:i/>
          <w:i/>
          <w:iCs/>
          <w:color w:val="000000"/>
          <w:sz w:val="22"/>
          <w:szCs w:val="22"/>
          <w:lang w:val="ca-ES"/>
        </w:rPr>
      </w:pPr>
      <w:r>
        <w:rPr>
          <w:rFonts w:eastAsia="Arial" w:cs="Arial" w:ascii="Arial" w:hAnsi="Arial"/>
          <w:b w:val="false"/>
          <w:i/>
          <w:iCs/>
          <w:color w:val="000000"/>
          <w:sz w:val="22"/>
          <w:szCs w:val="22"/>
          <w:lang w:val="ca-ES"/>
        </w:rPr>
        <w:t>8.- Que en cas de resultar proposat com adjudicatari, es compromet a aportar la documentació assenyalada en la clàusula VI del present plec.</w:t>
      </w:r>
    </w:p>
    <w:p>
      <w:pPr>
        <w:pStyle w:val="Cosdeltext"/>
        <w:numPr>
          <w:ilvl w:val="0"/>
          <w:numId w:val="1"/>
        </w:numPr>
        <w:pBdr/>
        <w:spacing w:lineRule="auto" w:line="276" w:before="0" w:after="0"/>
        <w:ind w:left="0" w:right="0" w:hanging="0"/>
        <w:jc w:val="both"/>
        <w:rPr>
          <w:rFonts w:ascii="Arial" w:hAnsi="Arial" w:eastAsia="Arial" w:cs="Arial"/>
          <w:b w:val="false"/>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eastAsia="Arial" w:cs="Arial" w:ascii="Arial" w:hAnsi="Arial"/>
          <w:b w:val="false"/>
          <w:i/>
          <w:iCs/>
          <w:color w:val="000000"/>
          <w:sz w:val="22"/>
          <w:szCs w:val="22"/>
          <w:lang w:val="ca-ES"/>
        </w:rPr>
        <w:t xml:space="preserve">9.-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que cobreixi les necessitats objecte del contracte, d'acord amb la clàusula XI d'aquest plec.</w:t>
      </w:r>
    </w:p>
    <w:p>
      <w:pPr>
        <w:pStyle w:val="Cosdeltext"/>
        <w:numPr>
          <w:ilvl w:val="0"/>
          <w:numId w:val="1"/>
        </w:numPr>
        <w:pBdr/>
        <w:spacing w:lineRule="auto" w:line="276" w:before="0" w:after="0"/>
        <w:ind w:left="0" w:right="0" w:hanging="0"/>
        <w:jc w:val="both"/>
        <w:rPr>
          <w:rFonts w:ascii="Arial" w:hAnsi="Arial" w:eastAsia="Arial" w:cs="Arial"/>
          <w:b w:val="false"/>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eastAsia="Times New Roman" w:cs="Arial"/>
          <w:b w:val="false"/>
          <w:b w:val="false"/>
          <w:bCs w:val="false"/>
          <w:i/>
          <w:i/>
          <w:iCs/>
          <w:color w:val="000000"/>
          <w:sz w:val="22"/>
          <w:szCs w:val="22"/>
          <w:lang w:val="ca-ES" w:eastAsia="zh-CN" w:bidi="hi-IN"/>
        </w:rPr>
      </w:pPr>
      <w:r>
        <w:rPr>
          <w:rFonts w:eastAsia="Times New Roman" w:cs="Arial" w:ascii="Arial" w:hAnsi="Arial"/>
          <w:b w:val="false"/>
          <w:bCs w:val="false"/>
          <w:i/>
          <w:iCs/>
          <w:color w:val="000000"/>
          <w:sz w:val="22"/>
          <w:szCs w:val="22"/>
          <w:lang w:val="ca-ES" w:eastAsia="zh-CN" w:bidi="hi-IN"/>
        </w:rPr>
        <w:t xml:space="preserve">10.- 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1"/>
        </w:numPr>
        <w:pBdr/>
        <w:spacing w:lineRule="auto" w:line="276" w:before="0" w:after="0"/>
        <w:ind w:left="0" w:right="0" w:hanging="0"/>
        <w:jc w:val="both"/>
        <w:rPr>
          <w:rFonts w:ascii="Arial" w:hAnsi="Arial" w:eastAsia="Times New Roman" w:cs="Arial"/>
          <w:b w:val="false"/>
          <w:b w:val="false"/>
          <w:bCs w:val="false"/>
          <w:i/>
          <w:i/>
          <w:iCs/>
          <w:color w:val="000000"/>
          <w:sz w:val="22"/>
          <w:szCs w:val="22"/>
          <w:lang w:val="ca-ES" w:eastAsia="zh-CN" w:bidi="hi-IN"/>
        </w:rPr>
      </w:pPr>
      <w:r>
        <w:rPr>
          <w:rFonts w:eastAsia="Times New Roman" w:cs="Arial"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sz w:val="22"/>
          <w:szCs w:val="22"/>
        </w:rPr>
      </w:pPr>
      <w:r>
        <w:rPr>
          <w:rFonts w:eastAsia="Arial" w:cs="Arial" w:ascii="Arial" w:hAnsi="Arial"/>
          <w:b w:val="false"/>
          <w:i/>
          <w:iCs/>
          <w:color w:val="000000"/>
          <w:sz w:val="22"/>
          <w:szCs w:val="22"/>
          <w:lang w:val="ca-ES"/>
        </w:rPr>
        <w:t xml:space="preserve">11.- </w:t>
      </w:r>
      <w:r>
        <w:rPr>
          <w:rFonts w:eastAsia="Helv;Arial" w:cs="Helv;Arial" w:ascii="Arial" w:hAnsi="Arial"/>
          <w:b w:val="false"/>
          <w:i/>
          <w:iCs/>
          <w:color w:val="000000"/>
          <w:sz w:val="22"/>
          <w:szCs w:val="22"/>
          <w:lang w:val="ca-ES"/>
        </w:rPr>
        <w:t xml:space="preserve">Que el licitador, les empreses filials, els contractistes i els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1"/>
        </w:numPr>
        <w:pBdr/>
        <w:spacing w:lineRule="auto" w:line="276" w:before="0" w:after="0"/>
        <w:ind w:left="0" w:right="0" w:hanging="0"/>
        <w:jc w:val="both"/>
        <w:rPr>
          <w:rFonts w:ascii="Arial" w:hAnsi="Arial" w:eastAsia="Helv;Arial" w:cs="Helv;Arial"/>
          <w:b w:val="false"/>
          <w:b w:val="false"/>
          <w:i/>
          <w:i/>
          <w:iCs/>
          <w:color w:val="000000"/>
          <w:sz w:val="22"/>
          <w:szCs w:val="22"/>
          <w:lang w:val="ca-ES"/>
        </w:rPr>
      </w:pPr>
      <w:r>
        <w:rPr>
          <w:rFonts w:eastAsia="Helv;Arial" w:cs="Helv;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eastAsia="Helv;Arial" w:cs="Helv;Arial" w:ascii="Arial" w:hAnsi="Arial"/>
          <w:b w:val="false"/>
          <w:i/>
          <w:iCs/>
          <w:color w:val="000000"/>
          <w:sz w:val="22"/>
          <w:szCs w:val="22"/>
          <w:lang w:val="ca-ES"/>
        </w:rPr>
        <w:t>En el supòsit que aquestes empreses tinguin relació amb els paradisos fiscals sense incórrer en les actuacions il·legals descrites a l'apartat anterior, 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1"/>
        </w:numPr>
        <w:pBdr/>
        <w:spacing w:lineRule="auto" w:line="276" w:before="0" w:after="0"/>
        <w:ind w:left="0" w:right="0" w:hanging="0"/>
        <w:jc w:val="both"/>
        <w:rPr>
          <w:rFonts w:ascii="Arial" w:hAnsi="Arial" w:eastAsia="Arial" w:cs="Arial"/>
          <w:b w:val="false"/>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eastAsia="Arial" w:cs="Arial" w:ascii="Arial" w:hAnsi="Arial"/>
          <w:b w:val="false"/>
          <w:i/>
          <w:iCs/>
          <w:color w:val="000000"/>
          <w:sz w:val="22"/>
          <w:szCs w:val="22"/>
          <w:lang w:val="ca-ES"/>
        </w:rPr>
        <w:t xml:space="preserve">12.-  Que </w:t>
      </w:r>
      <w:r>
        <w:rPr>
          <w:rFonts w:eastAsia="Helv;Arial" w:cs="Helv;Arial"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1"/>
        </w:numPr>
        <w:pBdr/>
        <w:spacing w:lineRule="auto" w:line="276" w:before="0" w:after="0"/>
        <w:ind w:left="0" w:right="0" w:hanging="0"/>
        <w:jc w:val="both"/>
        <w:rPr>
          <w:rFonts w:ascii="Arial" w:hAnsi="Arial" w:eastAsia="Helv;Arial" w:cs="Helv;Arial"/>
          <w:b w:val="false"/>
          <w:b w:val="false"/>
          <w:i/>
          <w:i/>
          <w:iCs/>
          <w:color w:val="000000"/>
          <w:sz w:val="22"/>
          <w:szCs w:val="22"/>
          <w:lang w:val="ca-ES"/>
        </w:rPr>
      </w:pPr>
      <w:r>
        <w:rPr>
          <w:rFonts w:eastAsia="Helv;Arial" w:cs="Helv;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eastAsia="Times New Roman" w:cs="Arial"/>
          <w:b w:val="false"/>
          <w:b w:val="false"/>
          <w:bCs w:val="false"/>
          <w:i/>
          <w:i/>
          <w:iCs/>
          <w:color w:val="000000"/>
          <w:sz w:val="22"/>
          <w:szCs w:val="22"/>
          <w:lang w:val="ca-ES" w:eastAsia="zh-CN" w:bidi="hi-IN"/>
        </w:rPr>
      </w:pPr>
      <w:r>
        <w:rPr>
          <w:rFonts w:eastAsia="Times New Roman" w:cs="Arial" w:ascii="Arial" w:hAnsi="Arial"/>
          <w:b w:val="false"/>
          <w:bCs w:val="false"/>
          <w:i/>
          <w:iCs/>
          <w:color w:val="000000"/>
          <w:sz w:val="22"/>
          <w:szCs w:val="22"/>
          <w:lang w:val="ca-ES" w:eastAsia="zh-CN" w:bidi="hi-IN"/>
        </w:rPr>
        <w:t xml:space="preserve">13.- Que no discriminarà per raó de gènere, evitant a més, en tots els casos, l’ús del llenguatge i imatges sexistes. Aquesta obligació és extensiva a la documentació que presentin els licitadors. </w:t>
      </w:r>
    </w:p>
    <w:p>
      <w:pPr>
        <w:pStyle w:val="Cosdeltext"/>
        <w:numPr>
          <w:ilvl w:val="0"/>
          <w:numId w:val="1"/>
        </w:numPr>
        <w:pBdr/>
        <w:spacing w:lineRule="auto" w:line="276" w:before="0" w:after="0"/>
        <w:ind w:left="0" w:right="0" w:hanging="0"/>
        <w:jc w:val="both"/>
        <w:rPr>
          <w:rFonts w:ascii="Arial" w:hAnsi="Arial" w:eastAsia="Times New Roman" w:cs="Arial"/>
          <w:b w:val="false"/>
          <w:b w:val="false"/>
          <w:bCs w:val="false"/>
          <w:i/>
          <w:i/>
          <w:iCs/>
          <w:color w:val="000000"/>
          <w:sz w:val="22"/>
          <w:szCs w:val="22"/>
          <w:lang w:val="ca-ES" w:eastAsia="zh-CN" w:bidi="hi-IN"/>
        </w:rPr>
      </w:pPr>
      <w:r>
        <w:rPr>
          <w:rFonts w:eastAsia="Times New Roman" w:cs="Arial"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t>14.- Que el licitador compleix amb tots els requisits de gestió ambiental que disposa l’Ajuntament de Granollers.</w:t>
      </w:r>
    </w:p>
    <w:p>
      <w:pPr>
        <w:pStyle w:val="Cosdeltext"/>
        <w:numPr>
          <w:ilvl w:val="0"/>
          <w:numId w:val="1"/>
        </w:numPr>
        <w:pBdr/>
        <w:spacing w:lineRule="auto" w:line="276" w:before="0" w:after="0"/>
        <w:ind w:left="0" w:right="0" w:hanging="0"/>
        <w:jc w:val="both"/>
        <w:rPr>
          <w:rFonts w:ascii="Arial" w:hAnsi="Arial"/>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1"/>
        </w:numPr>
        <w:pBdr/>
        <w:spacing w:lineRule="auto" w:line="276"/>
        <w:ind w:left="0" w:right="0" w:hanging="0"/>
        <w:jc w:val="both"/>
        <w:rPr>
          <w:rFonts w:ascii="Arial" w:hAnsi="Arial"/>
          <w:sz w:val="22"/>
          <w:szCs w:val="22"/>
        </w:rPr>
      </w:pPr>
      <w:r>
        <w:rPr>
          <w:rFonts w:eastAsia="Times New Roman" w:cs="Times New Roman" w:ascii="Arial" w:hAnsi="Arial"/>
          <w:b w:val="false"/>
          <w:bCs w:val="false"/>
          <w:i/>
          <w:iCs/>
          <w:color w:val="auto"/>
          <w:sz w:val="22"/>
          <w:szCs w:val="22"/>
          <w:u w:val="none"/>
          <w:lang w:val="ca-ES" w:eastAsia="zh-CN" w:bidi="hi-IN"/>
        </w:rPr>
        <w:t>15.- Que d’acord amb la normativa vigent, declara ser: (escollir opció)</w:t>
      </w:r>
    </w:p>
    <w:p>
      <w:pPr>
        <w:pStyle w:val="Cosdeltext"/>
        <w:widowControl/>
        <w:numPr>
          <w:ilvl w:val="0"/>
          <w:numId w:val="1"/>
        </w:numPr>
        <w:pBdr/>
        <w:bidi w:val="0"/>
        <w:spacing w:lineRule="auto" w:line="276" w:before="57" w:after="57"/>
        <w:ind w:left="0" w:right="0" w:hanging="0"/>
        <w:jc w:val="both"/>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No PIME</w:t>
      </w:r>
    </w:p>
    <w:p>
      <w:pPr>
        <w:pStyle w:val="Cosdeltext"/>
        <w:pBdr/>
        <w:spacing w:lineRule="auto" w:line="276"/>
        <w:jc w:val="both"/>
        <w:rPr>
          <w:rFonts w:ascii="Arial" w:hAnsi="Arial"/>
          <w:b/>
          <w:b/>
          <w:bCs/>
          <w:i/>
          <w:i/>
          <w:iCs/>
          <w:color w:val="000000"/>
          <w:sz w:val="22"/>
          <w:szCs w:val="22"/>
          <w:u w:val="none"/>
          <w:lang w:val="ca-ES"/>
        </w:rPr>
      </w:pPr>
      <w:r>
        <w:rPr>
          <w:rFonts w:ascii="Arial" w:hAnsi="Arial"/>
          <w:b/>
          <w:bCs/>
          <w:i/>
          <w:iCs/>
          <w:color w:val="000000"/>
          <w:sz w:val="22"/>
          <w:szCs w:val="22"/>
          <w:u w:val="none"/>
          <w:lang w:val="ca-ES"/>
        </w:rPr>
      </w:r>
    </w:p>
    <w:p>
      <w:pPr>
        <w:pStyle w:val="Cosdeltext"/>
        <w:pBdr/>
        <w:spacing w:lineRule="auto" w:line="276"/>
        <w:jc w:val="both"/>
        <w:rPr>
          <w:rFonts w:ascii="Arial" w:hAnsi="Arial"/>
          <w:b/>
          <w:b/>
          <w:bCs/>
          <w:i/>
          <w:i/>
          <w:iCs/>
          <w:color w:val="000000"/>
          <w:sz w:val="22"/>
          <w:szCs w:val="22"/>
          <w:u w:val="none"/>
          <w:lang w:val="ca-ES"/>
        </w:rPr>
      </w:pPr>
      <w:r>
        <w:rPr>
          <w:rFonts w:ascii="Arial" w:hAnsi="Arial"/>
          <w:b/>
          <w:bCs/>
          <w:i/>
          <w:iCs/>
          <w:color w:val="000000"/>
          <w:sz w:val="22"/>
          <w:szCs w:val="22"/>
          <w:u w:val="none"/>
          <w:lang w:val="ca-ES"/>
        </w:rPr>
        <w:t>ALTRES DECLARACIONS RESPONSABLES:</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d’estar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 i/o de l'Administració de l'Estat (</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 autoritza a l’Ajuntament de Granollers a la seva consulta, i declara que la informació continguda és correcta.</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2.- </w:t>
      </w:r>
      <w:r>
        <w:rPr>
          <w:rFonts w:eastAsia="Times New Roman" w:cs="Arial"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Arial"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Arial" w:ascii="Arial" w:hAnsi="Arial"/>
          <w:bCs w:val="false"/>
          <w:i/>
          <w:iCs/>
          <w:color w:val="000000"/>
          <w:sz w:val="22"/>
          <w:szCs w:val="22"/>
          <w:lang w:val="ca-ES" w:eastAsia="zh-CN" w:bidi="hi-IN"/>
        </w:rPr>
        <w:t>.</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3.- </w:t>
      </w:r>
      <w:r>
        <w:rPr>
          <w:rFonts w:eastAsia="Helv;Arial" w:cs="Helv;Arial" w:ascii="Arial" w:hAnsi="Arial"/>
          <w:b w:val="false"/>
          <w:i/>
          <w:iCs/>
          <w:color w:val="000000"/>
          <w:sz w:val="22"/>
          <w:szCs w:val="22"/>
          <w:lang w:val="ca-ES"/>
        </w:rPr>
        <w:t xml:space="preserve">En el cas que el licitador compti amb 50 o més treballadors o treballadores, el </w:t>
      </w:r>
      <w:r>
        <w:rPr>
          <w:rFonts w:eastAsia="Helv;Arial" w:cs="Helv;Arial" w:ascii="Arial" w:hAnsi="Arial"/>
          <w:b w:val="false"/>
          <w:i/>
          <w:iCs/>
          <w:color w:val="000000"/>
          <w:sz w:val="22"/>
          <w:szCs w:val="22"/>
          <w:u w:val="single"/>
          <w:lang w:val="ca-ES"/>
        </w:rPr>
        <w:t>2 % de la plantilla estarà composta per persones amb discapacitat</w:t>
      </w:r>
      <w:r>
        <w:rPr>
          <w:rFonts w:eastAsia="Helv;Arial" w:cs="Helv;Arial"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sz w:val="22"/>
          <w:szCs w:val="22"/>
        </w:rPr>
      </w:pPr>
      <w:r>
        <w:rPr>
          <w:rFonts w:ascii="Arial" w:hAnsi="Arial"/>
          <w:i/>
          <w:iCs/>
          <w:color w:val="000000"/>
          <w:sz w:val="22"/>
          <w:szCs w:val="22"/>
          <w:lang w:val="ca-ES"/>
        </w:rPr>
        <w:t xml:space="preserve">4.- </w:t>
      </w:r>
      <w:r>
        <w:rPr>
          <w:rFonts w:eastAsia="Times New Roman" w:cs="Arial"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Arial" w:ascii="Arial" w:hAnsi="Arial"/>
          <w:b w:val="false"/>
          <w:bCs w:val="false"/>
          <w:i/>
          <w:iCs/>
          <w:color w:val="000000"/>
          <w:sz w:val="22"/>
          <w:szCs w:val="22"/>
          <w:u w:val="single"/>
          <w:lang w:val="ca-ES" w:eastAsia="zh-CN" w:bidi="hi-IN"/>
        </w:rPr>
        <w:t>pla d’igualtat</w:t>
      </w:r>
      <w:r>
        <w:rPr>
          <w:rFonts w:eastAsia="Times New Roman" w:cs="Arial"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 En el supòsit que concorri exempció d'IVA, el licitador haurà de presentar declaració de què es troba exempt, el motiu i que són vigents les circumstàncies que donaren lloc a la dita exempció.</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sz w:val="22"/>
          <w:szCs w:val="22"/>
        </w:rPr>
      </w:pPr>
      <w:r>
        <w:rPr>
          <w:rFonts w:eastAsia="Times New Roman" w:cs="Arial" w:ascii="Arial" w:hAnsi="Arial"/>
          <w:bCs w:val="false"/>
          <w:i/>
          <w:iCs/>
          <w:color w:val="000000"/>
          <w:sz w:val="22"/>
          <w:szCs w:val="22"/>
          <w:lang w:val="ca-ES" w:eastAsia="zh-CN" w:bidi="hi-IN"/>
        </w:rPr>
        <w:t xml:space="preserve">6.-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numPr>
          <w:ilvl w:val="0"/>
          <w:numId w:val="1"/>
        </w:numPr>
        <w:pBdr/>
        <w:spacing w:lineRule="auto" w:line="276" w:before="0" w:after="0"/>
        <w:ind w:left="0" w:right="0" w:hanging="0"/>
        <w:jc w:val="both"/>
        <w:rPr>
          <w:rFonts w:ascii="Arial" w:hAnsi="Arial" w:eastAsia="Times New Roman" w:cs="Arial"/>
          <w:bCs w:val="false"/>
          <w:i/>
          <w:i/>
          <w:iCs/>
          <w:color w:val="000000"/>
          <w:sz w:val="22"/>
          <w:szCs w:val="22"/>
          <w:lang w:val="ca-ES" w:eastAsia="zh-CN" w:bidi="hi-IN"/>
        </w:rPr>
      </w:pPr>
      <w:r>
        <w:rPr>
          <w:rFonts w:eastAsia="Times New Roman" w:cs="Arial" w:ascii="Arial" w:hAnsi="Arial"/>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eastAsia="Arial" w:cs="Arial"/>
          <w:b w:val="false"/>
          <w:b w:val="false"/>
          <w:i/>
          <w:i/>
          <w:iCs/>
          <w:color w:val="000000"/>
          <w:sz w:val="22"/>
          <w:szCs w:val="22"/>
          <w:lang w:val="ca-ES"/>
        </w:rPr>
      </w:pPr>
      <w:r>
        <w:rPr>
          <w:rFonts w:eastAsia="Arial" w:cs="Arial" w:ascii="Arial" w:hAnsi="Arial"/>
          <w:b w:val="false"/>
          <w:i/>
          <w:iCs/>
          <w:color w:val="000000"/>
          <w:sz w:val="22"/>
          <w:szCs w:val="22"/>
          <w:lang w:val="ca-ES"/>
        </w:rPr>
        <w:t>7.-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numPr>
          <w:ilvl w:val="0"/>
          <w:numId w:val="1"/>
        </w:numPr>
        <w:pBdr/>
        <w:spacing w:lineRule="auto" w:line="276" w:before="0" w:after="0"/>
        <w:ind w:left="0" w:right="0" w:hanging="0"/>
        <w:jc w:val="both"/>
        <w:rPr>
          <w:rFonts w:ascii="Arial" w:hAnsi="Arial" w:eastAsia="Helv;Arial" w:cs="Helv;Arial"/>
          <w:b w:val="false"/>
          <w:b w:val="false"/>
          <w:i/>
          <w:i/>
          <w:iCs/>
          <w:color w:val="000000"/>
          <w:sz w:val="22"/>
          <w:szCs w:val="22"/>
          <w:lang w:val="ca-ES"/>
        </w:rPr>
      </w:pPr>
      <w:r>
        <w:rPr>
          <w:rFonts w:eastAsia="Helv;Arial" w:cs="Helv;Arial" w:ascii="Arial" w:hAnsi="Arial"/>
          <w:b w:val="false"/>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sz w:val="22"/>
          <w:szCs w:val="22"/>
        </w:rPr>
      </w:pPr>
      <w:r>
        <w:rPr>
          <w:rFonts w:eastAsia="Times New Roman" w:cs="Arial" w:ascii="Arial" w:hAnsi="Arial"/>
          <w:b w:val="false"/>
          <w:bCs w:val="false"/>
          <w:i/>
          <w:iCs/>
          <w:color w:val="000000"/>
          <w:sz w:val="22"/>
          <w:szCs w:val="22"/>
          <w:lang w:val="ca-ES" w:eastAsia="zh-CN" w:bidi="hi-IN"/>
        </w:rPr>
        <w:t xml:space="preserve">8.- En el supòsit que es tracti d'empresa estrangera, el licitador haurà de presentar declaració expressa de </w:t>
      </w:r>
      <w:r>
        <w:rPr>
          <w:rFonts w:eastAsia="Times New Roman" w:cs="Arial"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Arial"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1"/>
        </w:numPr>
        <w:pBdr/>
        <w:bidi w:val="0"/>
        <w:spacing w:lineRule="auto" w:line="276" w:before="57" w:after="57"/>
        <w:ind w:left="0" w:right="0" w:hanging="0"/>
        <w:jc w:val="both"/>
        <w:rPr>
          <w:rFonts w:ascii="Arial" w:hAnsi="Arial" w:cs="Arial"/>
          <w:sz w:val="20"/>
        </w:rPr>
      </w:pPr>
      <w:r>
        <w:rPr>
          <w:rStyle w:val="Fuentedeprrafopredeter1"/>
          <w:rFonts w:eastAsia="Helv;Arial" w:cs="Helv;Arial" w:ascii="Arial" w:hAnsi="Arial"/>
          <w:b w:val="false"/>
          <w:bCs/>
          <w:i/>
          <w:iCs/>
          <w:caps w:val="false"/>
          <w:smallCaps w:val="false"/>
          <w:strike w:val="false"/>
          <w:dstrike w:val="false"/>
          <w:color w:val="000000"/>
          <w:spacing w:val="0"/>
          <w:sz w:val="22"/>
          <w:szCs w:val="22"/>
          <w:u w:val="none"/>
          <w:lang w:val="ca-ES" w:eastAsia="es-ES" w:bidi="hi-IN"/>
        </w:rPr>
        <w:t>(Lloc, data i signatura del licitador)</w:t>
      </w:r>
      <w:r>
        <w:rPr>
          <w:rFonts w:eastAsia="Times New Roman" w:cs="Arial" w:ascii="Arial" w:hAnsi="Arial"/>
          <w:b/>
          <w:bCs/>
          <w:i/>
          <w:iCs/>
          <w:color w:val="000000"/>
          <w:sz w:val="22"/>
          <w:szCs w:val="22"/>
          <w:u w:val="none"/>
          <w:lang w:val="ca-ES" w:eastAsia="zh-CN" w:bidi="hi-IN"/>
        </w:rPr>
        <w:t>.</w:t>
      </w:r>
      <w:r>
        <w:rPr>
          <w:rFonts w:eastAsia="Times New Roman" w:cs="Arial" w:ascii="Arial" w:hAnsi="Arial"/>
          <w:b w:val="false"/>
          <w:bCs w:val="false"/>
          <w:i/>
          <w:iCs/>
          <w:color w:val="000000"/>
          <w:sz w:val="22"/>
          <w:szCs w:val="22"/>
          <w:u w:val="none"/>
          <w:lang w:val="ca-ES" w:eastAsia="zh-CN" w:bidi="hi-IN"/>
        </w:rPr>
        <w:t>»</w:t>
      </w:r>
    </w:p>
    <w:sectPr>
      <w:headerReference w:type="even" r:id="rId2"/>
      <w:headerReference w:type="default" r:id="rId3"/>
      <w:footerReference w:type="even" r:id="rId4"/>
      <w:footerReference w:type="default" r:id="rId5"/>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2"/>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3">
          <wp:simplePos x="0" y="0"/>
          <wp:positionH relativeFrom="column">
            <wp:posOffset>2295525</wp:posOffset>
          </wp:positionH>
          <wp:positionV relativeFrom="paragraph">
            <wp:posOffset>635</wp:posOffset>
          </wp:positionV>
          <wp:extent cx="4003040" cy="1356995"/>
          <wp:effectExtent l="0" t="0" r="0" b="0"/>
          <wp:wrapNone/>
          <wp:docPr id="1"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àfics1" descr=""/>
                  <pic:cNvPicPr>
                    <a:picLocks noChangeAspect="1" noChangeArrowheads="1"/>
                  </pic:cNvPicPr>
                </pic:nvPicPr>
                <pic:blipFill>
                  <a:blip r:embed="rId1"/>
                  <a:stretch>
                    <a:fillRect/>
                  </a:stretch>
                </pic:blipFill>
                <pic:spPr bwMode="auto">
                  <a:xfrm>
                    <a:off x="0" y="0"/>
                    <a:ext cx="4003040" cy="13569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624" w:hanging="624"/>
      </w:pPr>
      <w:rPr>
        <w:sz w:val="22"/>
        <w:i/>
        <w:b w:val="false"/>
        <w:szCs w:val="22"/>
        <w:iCs/>
        <w:bCs w:val="false"/>
        <w:highlight w:val="white"/>
        <w:rFonts w:ascii="Arial" w:hAnsi="Arial" w:eastAsia="Arial" w:cs="Arial"/>
        <w:lang w:val="ca-ES" w:eastAsia="zh-CN" w:bidi="hi-IN"/>
      </w:rPr>
    </w:lvl>
    <w:lvl w:ilvl="1">
      <w:start w:val="1"/>
      <w:numFmt w:val="bullet"/>
      <w:lvlText w:val=""/>
      <w:lvlJc w:val="left"/>
      <w:pPr>
        <w:tabs>
          <w:tab w:val="num" w:pos="85"/>
        </w:tabs>
        <w:ind w:left="1026" w:hanging="969"/>
      </w:pPr>
      <w:rPr>
        <w:rFonts w:ascii="Symbol" w:hAnsi="Symbol" w:cs="Symbol" w:hint="default"/>
        <w:rFonts w:cs="Symbol"/>
      </w:rPr>
    </w:lvl>
    <w:lvl w:ilvl="2">
      <w:start w:val="1"/>
      <w:numFmt w:val="bullet"/>
      <w:lvlText w:val=""/>
      <w:lvlJc w:val="left"/>
      <w:pPr>
        <w:tabs>
          <w:tab w:val="num" w:pos="85"/>
        </w:tabs>
        <w:ind w:left="1026" w:hanging="969"/>
      </w:pPr>
      <w:rPr>
        <w:rFonts w:ascii="Symbol" w:hAnsi="Symbol" w:cs="Symbol" w:hint="default"/>
        <w:rFonts w:cs="Symbol"/>
      </w:rPr>
    </w:lvl>
    <w:lvl w:ilvl="3">
      <w:start w:val="1"/>
      <w:numFmt w:val="bullet"/>
      <w:lvlText w:val=""/>
      <w:lvlJc w:val="left"/>
      <w:pPr>
        <w:tabs>
          <w:tab w:val="num" w:pos="85"/>
        </w:tabs>
        <w:ind w:left="1026" w:hanging="969"/>
      </w:pPr>
      <w:rPr>
        <w:rFonts w:ascii="Symbol" w:hAnsi="Symbol" w:cs="Symbol" w:hint="default"/>
        <w:rFonts w:cs="Symbol"/>
      </w:rPr>
    </w:lvl>
    <w:lvl w:ilvl="4">
      <w:start w:val="1"/>
      <w:numFmt w:val="bullet"/>
      <w:lvlText w:val=""/>
      <w:lvlJc w:val="left"/>
      <w:pPr>
        <w:tabs>
          <w:tab w:val="num" w:pos="85"/>
        </w:tabs>
        <w:ind w:left="1026" w:hanging="969"/>
      </w:pPr>
      <w:rPr>
        <w:rFonts w:ascii="Symbol" w:hAnsi="Symbol" w:cs="Symbol" w:hint="default"/>
        <w:rFonts w:cs="Symbol"/>
      </w:rPr>
    </w:lvl>
    <w:lvl w:ilvl="5">
      <w:start w:val="1"/>
      <w:numFmt w:val="bullet"/>
      <w:lvlText w:val=""/>
      <w:lvlJc w:val="left"/>
      <w:pPr>
        <w:tabs>
          <w:tab w:val="num" w:pos="85"/>
        </w:tabs>
        <w:ind w:left="1026" w:hanging="969"/>
      </w:pPr>
      <w:rPr>
        <w:rFonts w:ascii="Symbol" w:hAnsi="Symbol" w:cs="Symbol" w:hint="default"/>
        <w:rFonts w:cs="Symbol"/>
      </w:rPr>
    </w:lvl>
    <w:lvl w:ilvl="6">
      <w:start w:val="1"/>
      <w:numFmt w:val="bullet"/>
      <w:lvlText w:val=""/>
      <w:lvlJc w:val="left"/>
      <w:pPr>
        <w:tabs>
          <w:tab w:val="num" w:pos="85"/>
        </w:tabs>
        <w:ind w:left="1026" w:hanging="969"/>
      </w:pPr>
      <w:rPr>
        <w:rFonts w:ascii="Symbol" w:hAnsi="Symbol" w:cs="Symbol" w:hint="default"/>
        <w:rFonts w:cs="Symbol"/>
      </w:rPr>
    </w:lvl>
    <w:lvl w:ilvl="7">
      <w:start w:val="1"/>
      <w:numFmt w:val="bullet"/>
      <w:lvlText w:val=""/>
      <w:lvlJc w:val="left"/>
      <w:pPr>
        <w:tabs>
          <w:tab w:val="num" w:pos="85"/>
        </w:tabs>
        <w:ind w:left="1026" w:hanging="969"/>
      </w:pPr>
      <w:rPr>
        <w:rFonts w:ascii="Symbol" w:hAnsi="Symbol" w:cs="Symbol" w:hint="default"/>
        <w:rFonts w:cs="Symbol"/>
      </w:rPr>
    </w:lvl>
    <w:lvl w:ilvl="8">
      <w:start w:val="1"/>
      <w:numFmt w:val="bullet"/>
      <w:lvlText w:val=""/>
      <w:lvlJc w:val="left"/>
      <w:pPr>
        <w:tabs>
          <w:tab w:val="num" w:pos="85"/>
        </w:tabs>
        <w:ind w:left="1026" w:hanging="969"/>
      </w:pPr>
      <w:rPr>
        <w:rFonts w:ascii="Symbol" w:hAnsi="Symbol" w:cs="Symbol" w:hint="default"/>
        <w:rFonts w:cs="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character" w:styleId="Fuentedeprrafopredeter1">
    <w:name w:val="Fuente de párrafo predeter.1"/>
    <w:qFormat/>
    <w:rPr/>
  </w:style>
  <w:style w:type="character" w:styleId="WW8Num19z0">
    <w:name w:val="WW8Num19z0"/>
    <w:qFormat/>
    <w:rPr>
      <w:rFonts w:ascii="Arial" w:hAnsi="Arial" w:eastAsia="Arial" w:cs="Arial"/>
      <w:b w:val="false"/>
      <w:bCs w:val="false"/>
      <w:i/>
      <w:iCs/>
      <w:sz w:val="22"/>
      <w:szCs w:val="22"/>
      <w:highlight w:val="white"/>
      <w:lang w:val="ca-ES" w:eastAsia="zh-CN" w:bidi="hi-IN"/>
    </w:rPr>
  </w:style>
  <w:style w:type="character" w:styleId="WW8Num19z1">
    <w:name w:val="WW8Num19z1"/>
    <w:qFormat/>
    <w:rPr>
      <w:rFonts w:ascii="Symbol" w:hAnsi="Symbol" w:cs="Symbol"/>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 w:type="paragraph" w:styleId="Subttol">
    <w:name w:val="Subtitle"/>
    <w:basedOn w:val="Encapalament"/>
    <w:next w:val="Cosdeltext"/>
    <w:qFormat/>
    <w:pPr>
      <w:bidi w:val="0"/>
      <w:jc w:val="both"/>
    </w:pPr>
    <w:rPr>
      <w:rFonts w:ascii="Arial" w:hAnsi="Arial" w:cs="Arial"/>
      <w:i w:val="false"/>
      <w:iCs/>
      <w:sz w:val="24"/>
      <w:szCs w:val="28"/>
    </w:rPr>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CARTACompres_19</Template>
  <TotalTime>1</TotalTime>
  <Application>LibreOffice/6.1.5.2$Windows_X86_64 LibreOffice_project/90f8dcf33c87b3705e78202e3df5142b201bd805</Application>
  <Pages>3</Pages>
  <Words>1008</Words>
  <Characters>5701</Characters>
  <CharactersWithSpaces>6700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2023-07-25T08:21:54Z</dcterms:created>
  <dc:creator/>
  <dc:description/>
  <dc:language>es-ES</dc:language>
  <cp:lastModifiedBy/>
  <dcterms:modified xsi:type="dcterms:W3CDTF">2023-07-25T08:22:54Z</dcterms:modified>
  <cp:revision>2</cp:revision>
  <dc:subject/>
  <dc:title/>
</cp:coreProperties>
</file>