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EC" w:rsidRDefault="009F6DEC" w:rsidP="009F6DEC">
      <w:pPr>
        <w:tabs>
          <w:tab w:val="left" w:pos="4423"/>
        </w:tabs>
        <w:rPr>
          <w:rFonts w:asciiTheme="minorHAnsi" w:eastAsiaTheme="minorHAnsi" w:hAnsiTheme="minorHAnsi" w:cstheme="minorBidi"/>
        </w:rPr>
      </w:pPr>
      <w:r>
        <w:rPr>
          <w:rFonts w:asciiTheme="minorHAnsi" w:eastAsiaTheme="minorHAnsi" w:hAnsiTheme="minorHAnsi" w:cstheme="minorBidi"/>
        </w:rPr>
        <w:tab/>
      </w:r>
    </w:p>
    <w:p w:rsidR="009F6DEC" w:rsidRPr="000A2A46" w:rsidRDefault="009F6DEC" w:rsidP="009F6DEC">
      <w:pPr>
        <w:keepNext/>
        <w:keepLines/>
        <w:spacing w:before="360" w:after="120" w:line="288" w:lineRule="auto"/>
        <w:jc w:val="both"/>
        <w:outlineLvl w:val="0"/>
        <w:rPr>
          <w:rFonts w:asciiTheme="majorHAnsi" w:eastAsiaTheme="majorEastAsia" w:hAnsiTheme="majorHAnsi" w:cstheme="majorBidi"/>
          <w:b/>
          <w:color w:val="0097A5"/>
          <w:sz w:val="32"/>
          <w:szCs w:val="32"/>
        </w:rPr>
      </w:pPr>
      <w:bookmarkStart w:id="0" w:name="_Toc136533486"/>
      <w:r w:rsidRPr="000A2A46">
        <w:rPr>
          <w:rFonts w:asciiTheme="majorHAnsi" w:eastAsiaTheme="majorEastAsia" w:hAnsiTheme="majorHAnsi" w:cstheme="majorBidi"/>
          <w:b/>
          <w:color w:val="0097A5"/>
          <w:sz w:val="32"/>
          <w:szCs w:val="32"/>
        </w:rPr>
        <w:t>Annex 1 – Taula de compliment de requeriments</w:t>
      </w:r>
      <w:bookmarkEnd w:id="0"/>
    </w:p>
    <w:p w:rsidR="009F6DEC" w:rsidRPr="000A2A46" w:rsidRDefault="009F6DEC" w:rsidP="009F6DEC">
      <w:pPr>
        <w:autoSpaceDE w:val="0"/>
        <w:autoSpaceDN w:val="0"/>
        <w:adjustRightInd w:val="0"/>
        <w:spacing w:after="120" w:line="240" w:lineRule="auto"/>
        <w:jc w:val="both"/>
        <w:rPr>
          <w:rFonts w:eastAsiaTheme="minorHAnsi" w:cs="Calibri"/>
          <w:color w:val="000000"/>
        </w:rPr>
      </w:pPr>
      <w:r w:rsidRPr="000A2A46">
        <w:rPr>
          <w:rFonts w:eastAsiaTheme="minorHAnsi" w:cs="Calibri"/>
          <w:color w:val="000000"/>
        </w:rPr>
        <w:t xml:space="preserve">En aquest annex s’inclou una taula que caldrà emplenar i incloure en el </w:t>
      </w:r>
      <w:r w:rsidRPr="000A2A46">
        <w:rPr>
          <w:rFonts w:eastAsiaTheme="minorHAnsi" w:cs="Calibri"/>
          <w:b/>
          <w:color w:val="000000"/>
        </w:rPr>
        <w:t>sobre C</w:t>
      </w:r>
      <w:r w:rsidRPr="000A2A46">
        <w:rPr>
          <w:rFonts w:eastAsiaTheme="minorHAnsi" w:cs="Calibri"/>
          <w:color w:val="000000"/>
        </w:rPr>
        <w:t xml:space="preserve"> per facilitar l’avaluació del compliment de les característiques tècniques mínimes obligatòries, o requeriments. </w:t>
      </w:r>
    </w:p>
    <w:p w:rsidR="009F6DEC" w:rsidRPr="000A2A46" w:rsidRDefault="009F6DEC" w:rsidP="009F6DEC">
      <w:pPr>
        <w:autoSpaceDE w:val="0"/>
        <w:autoSpaceDN w:val="0"/>
        <w:adjustRightInd w:val="0"/>
        <w:spacing w:after="120" w:line="240" w:lineRule="auto"/>
        <w:jc w:val="both"/>
        <w:rPr>
          <w:rFonts w:eastAsiaTheme="minorHAnsi" w:cs="Calibri"/>
          <w:color w:val="000000"/>
        </w:rPr>
      </w:pPr>
      <w:r w:rsidRPr="000A2A46">
        <w:rPr>
          <w:rFonts w:eastAsiaTheme="minorHAnsi" w:cs="Calibri"/>
          <w:color w:val="000000"/>
        </w:rPr>
        <w:t xml:space="preserve">Cal indicar en cada punt si es compleix amb el requisit i el detall del compliment en format breu a la columna </w:t>
      </w:r>
      <w:r w:rsidRPr="000A2A46">
        <w:rPr>
          <w:rFonts w:eastAsiaTheme="minorHAnsi" w:cs="Calibri"/>
          <w:i/>
          <w:color w:val="000000"/>
        </w:rPr>
        <w:t>Compliment</w:t>
      </w:r>
      <w:r w:rsidRPr="000A2A46">
        <w:rPr>
          <w:rFonts w:eastAsiaTheme="minorHAnsi" w:cs="Calibri"/>
          <w:color w:val="000000"/>
        </w:rPr>
        <w:t>. Per tal de poder fer la comprovació d’aquesta informació, caldrà detallar també la següent informació en els punts on es requereixi</w:t>
      </w:r>
      <w:r w:rsidRPr="000A2A46">
        <w:rPr>
          <w:rFonts w:eastAsiaTheme="minorHAnsi" w:cs="Calibri"/>
          <w:color w:val="000000"/>
          <w:vertAlign w:val="superscript"/>
        </w:rPr>
        <w:footnoteReference w:id="1"/>
      </w:r>
      <w:r w:rsidRPr="000A2A46">
        <w:rPr>
          <w:rFonts w:eastAsiaTheme="minorHAnsi" w:cs="Calibri"/>
          <w:color w:val="000000"/>
        </w:rPr>
        <w:t xml:space="preserve"> </w:t>
      </w:r>
      <w:r w:rsidRPr="000A2A46">
        <w:rPr>
          <w:rFonts w:eastAsiaTheme="minorHAnsi" w:cs="Calibri"/>
          <w:color w:val="000000"/>
          <w:vertAlign w:val="superscript"/>
        </w:rPr>
        <w:footnoteReference w:id="2"/>
      </w:r>
      <w:r w:rsidRPr="000A2A46">
        <w:rPr>
          <w:rFonts w:eastAsiaTheme="minorHAnsi" w:cs="Calibri"/>
          <w:color w:val="000000"/>
        </w:rPr>
        <w:t>:</w:t>
      </w:r>
    </w:p>
    <w:p w:rsidR="009F6DEC" w:rsidRPr="000A2A46" w:rsidRDefault="009F6DEC" w:rsidP="009F6DEC">
      <w:pPr>
        <w:numPr>
          <w:ilvl w:val="0"/>
          <w:numId w:val="39"/>
        </w:numPr>
        <w:autoSpaceDE w:val="0"/>
        <w:autoSpaceDN w:val="0"/>
        <w:adjustRightInd w:val="0"/>
        <w:spacing w:after="120" w:line="240" w:lineRule="auto"/>
        <w:ind w:left="714" w:hanging="357"/>
        <w:jc w:val="both"/>
        <w:rPr>
          <w:rFonts w:eastAsiaTheme="minorHAnsi" w:cs="Calibri"/>
          <w:color w:val="000000"/>
        </w:rPr>
      </w:pPr>
      <w:r w:rsidRPr="000A2A46">
        <w:rPr>
          <w:rFonts w:eastAsiaTheme="minorHAnsi" w:cs="Calibri"/>
          <w:color w:val="000000"/>
        </w:rPr>
        <w:t xml:space="preserve">Enllaç a la documentació oficial en línia o document de dades del producte (o </w:t>
      </w:r>
      <w:proofErr w:type="spellStart"/>
      <w:r w:rsidRPr="000A2A46">
        <w:rPr>
          <w:rFonts w:eastAsiaTheme="minorHAnsi" w:cs="Calibri"/>
          <w:i/>
          <w:color w:val="000000"/>
        </w:rPr>
        <w:t>datasheet</w:t>
      </w:r>
      <w:proofErr w:type="spellEnd"/>
      <w:r w:rsidRPr="000A2A46">
        <w:rPr>
          <w:rFonts w:eastAsiaTheme="minorHAnsi" w:cs="Calibri"/>
          <w:i/>
          <w:color w:val="000000"/>
        </w:rPr>
        <w:t>)</w:t>
      </w:r>
      <w:r w:rsidRPr="000A2A46">
        <w:rPr>
          <w:rFonts w:eastAsiaTheme="minorHAnsi" w:cs="Calibri"/>
          <w:color w:val="000000"/>
        </w:rPr>
        <w:t xml:space="preserve"> annex a la proposta, que acrediti el compliment del requeriment.</w:t>
      </w:r>
    </w:p>
    <w:p w:rsidR="009F6DEC" w:rsidRPr="000A2A46" w:rsidRDefault="009F6DEC" w:rsidP="009F6DEC">
      <w:pPr>
        <w:numPr>
          <w:ilvl w:val="0"/>
          <w:numId w:val="35"/>
        </w:numPr>
        <w:autoSpaceDE w:val="0"/>
        <w:autoSpaceDN w:val="0"/>
        <w:adjustRightInd w:val="0"/>
        <w:spacing w:after="240" w:line="240" w:lineRule="auto"/>
        <w:ind w:left="714" w:hanging="357"/>
        <w:jc w:val="both"/>
        <w:rPr>
          <w:rFonts w:eastAsiaTheme="minorHAnsi" w:cs="Calibri"/>
          <w:color w:val="000000"/>
        </w:rPr>
      </w:pPr>
      <w:r w:rsidRPr="000A2A46">
        <w:rPr>
          <w:rFonts w:eastAsiaTheme="minorHAnsi" w:cs="Calibri"/>
          <w:color w:val="000000"/>
        </w:rPr>
        <w:t>En cas de no existir cap document oficial dels esmentats al punt anterior, o de faltar alguna dada a acreditar requerida, caldrà incorporar un certificat oficial del fabricant de l’element on es confirmi que es compleix cada un dels punts descrits a l'apartat de requeriments.</w:t>
      </w:r>
    </w:p>
    <w:p w:rsidR="009F6DEC" w:rsidRPr="000A2A46" w:rsidRDefault="009F6DEC" w:rsidP="009F6DEC">
      <w:pPr>
        <w:spacing w:after="120" w:line="288" w:lineRule="auto"/>
        <w:jc w:val="both"/>
        <w:rPr>
          <w:rFonts w:eastAsiaTheme="minorHAnsi" w:cs="Calibri"/>
          <w:b/>
          <w:color w:val="000000"/>
        </w:rPr>
      </w:pPr>
      <w:r w:rsidRPr="000A2A46">
        <w:rPr>
          <w:rFonts w:eastAsiaTheme="minorHAnsi" w:cs="Calibri"/>
          <w:b/>
          <w:color w:val="000000"/>
        </w:rPr>
        <w:t>Taula de compliment de requeriments</w:t>
      </w:r>
    </w:p>
    <w:tbl>
      <w:tblPr>
        <w:tblStyle w:val="Tablaconcuadrcula"/>
        <w:tblW w:w="5000" w:type="pct"/>
        <w:tblInd w:w="-5" w:type="dxa"/>
        <w:tblCellMar>
          <w:top w:w="57" w:type="dxa"/>
          <w:left w:w="57" w:type="dxa"/>
          <w:bottom w:w="57" w:type="dxa"/>
          <w:right w:w="57" w:type="dxa"/>
        </w:tblCellMar>
        <w:tblLook w:val="04A0" w:firstRow="1" w:lastRow="0" w:firstColumn="1" w:lastColumn="0" w:noHBand="0" w:noVBand="1"/>
      </w:tblPr>
      <w:tblGrid>
        <w:gridCol w:w="567"/>
        <w:gridCol w:w="5211"/>
        <w:gridCol w:w="5278"/>
        <w:gridCol w:w="2936"/>
      </w:tblGrid>
      <w:tr w:rsidR="009F6DEC" w:rsidRPr="000A2A46" w:rsidTr="00A50DCE">
        <w:trPr>
          <w:cantSplit/>
          <w:tblHeader/>
        </w:trPr>
        <w:tc>
          <w:tcPr>
            <w:tcW w:w="203" w:type="pct"/>
            <w:shd w:val="clear" w:color="auto" w:fill="9BB61A"/>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ID</w:t>
            </w:r>
          </w:p>
        </w:tc>
        <w:tc>
          <w:tcPr>
            <w:tcW w:w="1862" w:type="pct"/>
            <w:shd w:val="clear" w:color="auto" w:fill="9BB61A"/>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Requeriment</w:t>
            </w:r>
          </w:p>
        </w:tc>
        <w:tc>
          <w:tcPr>
            <w:tcW w:w="1886" w:type="pct"/>
            <w:shd w:val="clear" w:color="auto" w:fill="9BB61A"/>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Compliment</w:t>
            </w:r>
          </w:p>
        </w:tc>
        <w:tc>
          <w:tcPr>
            <w:tcW w:w="1049" w:type="pct"/>
            <w:shd w:val="clear" w:color="auto" w:fill="9BB61A"/>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Enllaç a documentació oficial, nom del fitxer adjunt amb les dades del producte o certificat de fabricant</w:t>
            </w:r>
          </w:p>
        </w:tc>
      </w:tr>
      <w:tr w:rsidR="009F6DEC" w:rsidRPr="000A2A46" w:rsidTr="00A50DCE">
        <w:trPr>
          <w:cantSplit/>
        </w:trPr>
        <w:tc>
          <w:tcPr>
            <w:tcW w:w="5000" w:type="pct"/>
            <w:gridSpan w:val="4"/>
            <w:shd w:val="clear" w:color="auto" w:fill="F2F2F2" w:themeFill="background1" w:themeFillShade="F2"/>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Requeriments generals referents a la solució proposada</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A1</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Tots els elements a implantar han de ser nous</w:t>
            </w:r>
            <w:r w:rsidRPr="000A2A46">
              <w:t xml:space="preserve"> </w:t>
            </w:r>
            <w:r w:rsidRPr="000A2A46">
              <w:rPr>
                <w:rFonts w:cstheme="minorHAnsi"/>
                <w:sz w:val="18"/>
                <w:szCs w:val="18"/>
              </w:rPr>
              <w:t>i no es pot aprofitar cap dels elements existents a les infraestructures de virtualització de servidors actuals</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color w:val="ED7D31" w:themeColor="accent2"/>
                <w:sz w:val="18"/>
                <w:szCs w:val="18"/>
              </w:rPr>
            </w:pPr>
            <w:r w:rsidRPr="000A2A46">
              <w:rPr>
                <w:rFonts w:cstheme="minorHAnsi"/>
                <w:color w:val="ED7D31" w:themeColor="accent2"/>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A2</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Ha de ser escalable en quant a capacitat de còmput</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color w:val="ED7D31" w:themeColor="accent2"/>
                <w:sz w:val="18"/>
                <w:szCs w:val="18"/>
              </w:rPr>
            </w:pPr>
            <w:r w:rsidRPr="000A2A46">
              <w:rPr>
                <w:rFonts w:cstheme="minorHAnsi"/>
                <w:color w:val="ED7D31" w:themeColor="accent2"/>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A3</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No pot ser de tipus </w:t>
            </w:r>
            <w:proofErr w:type="spellStart"/>
            <w:r w:rsidRPr="000A2A46">
              <w:rPr>
                <w:rFonts w:cstheme="minorHAnsi"/>
                <w:sz w:val="18"/>
                <w:szCs w:val="18"/>
              </w:rPr>
              <w:t>hiperconvergent</w:t>
            </w:r>
            <w:proofErr w:type="spellEnd"/>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color w:val="ED7D31" w:themeColor="accent2"/>
                <w:sz w:val="18"/>
                <w:szCs w:val="18"/>
              </w:rPr>
            </w:pPr>
            <w:r w:rsidRPr="000A2A46">
              <w:rPr>
                <w:rFonts w:cstheme="minorHAnsi"/>
                <w:color w:val="ED7D31" w:themeColor="accent2"/>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lastRenderedPageBreak/>
              <w:t>A4</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Ha de permetre l'aprofitament de les llicències del programari de virtualització de servidors que ja té contractades el CSAPG</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color w:val="ED7D31" w:themeColor="accent2"/>
                <w:sz w:val="18"/>
                <w:szCs w:val="18"/>
              </w:rPr>
            </w:pPr>
            <w:r w:rsidRPr="000A2A46">
              <w:rPr>
                <w:rFonts w:cstheme="minorHAnsi"/>
                <w:color w:val="ED7D31" w:themeColor="accent2"/>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A5</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Ha de permetre l'actualització del programari de virtualització a la versió actual</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color w:val="ED7D31" w:themeColor="accent2"/>
                <w:sz w:val="18"/>
                <w:szCs w:val="18"/>
              </w:rPr>
            </w:pPr>
            <w:r w:rsidRPr="000A2A46">
              <w:rPr>
                <w:rFonts w:cstheme="minorHAnsi"/>
                <w:color w:val="ED7D31" w:themeColor="accent2"/>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A6</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Ha d’incloure tot el cablejat necessari per interconnectar tots els elements de la solució, així com per connectar els nous elements que així ho requereixin amb els commutadors </w:t>
            </w:r>
            <w:proofErr w:type="spellStart"/>
            <w:r w:rsidRPr="000A2A46">
              <w:rPr>
                <w:rFonts w:cstheme="minorHAnsi"/>
                <w:sz w:val="18"/>
                <w:szCs w:val="18"/>
              </w:rPr>
              <w:t>core</w:t>
            </w:r>
            <w:proofErr w:type="spellEnd"/>
            <w:r w:rsidRPr="000A2A46">
              <w:rPr>
                <w:rFonts w:cstheme="minorHAnsi"/>
                <w:sz w:val="18"/>
                <w:szCs w:val="18"/>
              </w:rPr>
              <w:t xml:space="preserve"> de cada CPD</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color w:val="ED7D31" w:themeColor="accent2"/>
                <w:sz w:val="18"/>
                <w:szCs w:val="18"/>
              </w:rPr>
            </w:pPr>
            <w:r w:rsidRPr="000A2A46">
              <w:rPr>
                <w:rFonts w:cstheme="minorHAnsi"/>
                <w:color w:val="ED7D31" w:themeColor="accent2"/>
                <w:sz w:val="18"/>
                <w:szCs w:val="18"/>
              </w:rPr>
              <w:t>No requerit</w:t>
            </w:r>
          </w:p>
        </w:tc>
      </w:tr>
      <w:tr w:rsidR="009F6DEC" w:rsidRPr="000A2A46" w:rsidTr="00A50DCE">
        <w:trPr>
          <w:cantSplit/>
        </w:trPr>
        <w:tc>
          <w:tcPr>
            <w:tcW w:w="5000" w:type="pct"/>
            <w:gridSpan w:val="4"/>
            <w:shd w:val="clear" w:color="auto" w:fill="F2F2F2" w:themeFill="background1" w:themeFillShade="F2"/>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Requeriments referents als servidors físics de virtualització</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B1</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Els tres servidors han de ser idèntics</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B2</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Els servidors han de ser de classe empresarial</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servidor</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B3</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Cada servidor ha d’ocupar 1RU de bastidor estàndard de 19”</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servidor</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B4</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Doble processador AMD </w:t>
            </w:r>
            <w:proofErr w:type="spellStart"/>
            <w:r w:rsidRPr="000A2A46">
              <w:rPr>
                <w:rFonts w:cstheme="minorHAnsi"/>
                <w:sz w:val="18"/>
                <w:szCs w:val="18"/>
              </w:rPr>
              <w:t>Epyc</w:t>
            </w:r>
            <w:proofErr w:type="spellEnd"/>
            <w:r w:rsidRPr="000A2A46">
              <w:rPr>
                <w:rFonts w:cstheme="minorHAnsi"/>
                <w:sz w:val="18"/>
                <w:szCs w:val="18"/>
              </w:rPr>
              <w:t xml:space="preserve"> (generació Milan o posterior) o </w:t>
            </w:r>
            <w:proofErr w:type="spellStart"/>
            <w:r w:rsidRPr="000A2A46">
              <w:rPr>
                <w:rFonts w:cstheme="minorHAnsi"/>
                <w:sz w:val="18"/>
                <w:szCs w:val="18"/>
              </w:rPr>
              <w:t>Intel</w:t>
            </w:r>
            <w:proofErr w:type="spellEnd"/>
            <w:r w:rsidRPr="000A2A46">
              <w:rPr>
                <w:rFonts w:cstheme="minorHAnsi"/>
                <w:sz w:val="18"/>
                <w:szCs w:val="18"/>
              </w:rPr>
              <w:t xml:space="preserve"> </w:t>
            </w:r>
            <w:proofErr w:type="spellStart"/>
            <w:r w:rsidRPr="000A2A46">
              <w:rPr>
                <w:rFonts w:cstheme="minorHAnsi"/>
                <w:sz w:val="18"/>
                <w:szCs w:val="18"/>
              </w:rPr>
              <w:t>Xeon</w:t>
            </w:r>
            <w:proofErr w:type="spellEnd"/>
            <w:r w:rsidRPr="000A2A46">
              <w:rPr>
                <w:rFonts w:cstheme="minorHAnsi"/>
                <w:sz w:val="18"/>
                <w:szCs w:val="18"/>
              </w:rPr>
              <w:t xml:space="preserve"> (3th Gen </w:t>
            </w:r>
            <w:proofErr w:type="spellStart"/>
            <w:r w:rsidRPr="000A2A46">
              <w:rPr>
                <w:rFonts w:cstheme="minorHAnsi"/>
                <w:sz w:val="18"/>
                <w:szCs w:val="18"/>
              </w:rPr>
              <w:t>Xeon</w:t>
            </w:r>
            <w:proofErr w:type="spellEnd"/>
            <w:r w:rsidRPr="000A2A46">
              <w:rPr>
                <w:rFonts w:cstheme="minorHAnsi"/>
                <w:sz w:val="18"/>
                <w:szCs w:val="18"/>
              </w:rPr>
              <w:t xml:space="preserve"> </w:t>
            </w:r>
            <w:proofErr w:type="spellStart"/>
            <w:r w:rsidRPr="000A2A46">
              <w:rPr>
                <w:rFonts w:cstheme="minorHAnsi"/>
                <w:sz w:val="18"/>
                <w:szCs w:val="18"/>
              </w:rPr>
              <w:t>Scalable</w:t>
            </w:r>
            <w:proofErr w:type="spellEnd"/>
            <w:r w:rsidRPr="000A2A46">
              <w:rPr>
                <w:rFonts w:cstheme="minorHAnsi"/>
                <w:sz w:val="18"/>
                <w:szCs w:val="18"/>
              </w:rPr>
              <w:t xml:space="preserve"> </w:t>
            </w:r>
            <w:proofErr w:type="spellStart"/>
            <w:r w:rsidRPr="000A2A46">
              <w:rPr>
                <w:rFonts w:cstheme="minorHAnsi"/>
                <w:sz w:val="18"/>
                <w:szCs w:val="18"/>
              </w:rPr>
              <w:t>Processor</w:t>
            </w:r>
            <w:proofErr w:type="spellEnd"/>
            <w:r w:rsidRPr="000A2A46">
              <w:rPr>
                <w:rFonts w:cstheme="minorHAnsi"/>
                <w:sz w:val="18"/>
                <w:szCs w:val="18"/>
              </w:rPr>
              <w:t xml:space="preserve"> o posterior) de 32 nuclis, amb una freqüència bàsica de funcionament de 2,00Ghz com a mínim</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processador</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B5</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Mínim de 768GB de memòria RAM, en mòduls de 64GB. Els mòduls de RAM han de ser del tipus més ràpid que admeti el processador</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r w:rsidRPr="000A2A46">
              <w:rPr>
                <w:rFonts w:cstheme="minorHAnsi"/>
                <w:i/>
                <w:sz w:val="18"/>
                <w:szCs w:val="18"/>
              </w:rPr>
              <w:t>Model de la memòria RAM</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lastRenderedPageBreak/>
              <w:t>B6</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El servidor ha d’incorporar almenys els següents ports de connexió a xarxa:</w:t>
            </w:r>
          </w:p>
          <w:p w:rsidR="009F6DEC" w:rsidRPr="000A2A46" w:rsidRDefault="009F6DEC" w:rsidP="00A50DCE">
            <w:pPr>
              <w:numPr>
                <w:ilvl w:val="0"/>
                <w:numId w:val="8"/>
              </w:numPr>
              <w:spacing w:after="80" w:line="240" w:lineRule="auto"/>
              <w:ind w:left="714" w:hanging="357"/>
              <w:jc w:val="both"/>
              <w:rPr>
                <w:rFonts w:cstheme="minorHAnsi"/>
                <w:sz w:val="18"/>
                <w:szCs w:val="18"/>
              </w:rPr>
            </w:pPr>
            <w:r w:rsidRPr="000A2A46">
              <w:rPr>
                <w:rFonts w:cstheme="minorHAnsi"/>
                <w:sz w:val="18"/>
                <w:szCs w:val="18"/>
              </w:rPr>
              <w:t>Dos ports 1GbE Base-T</w:t>
            </w:r>
            <w:r w:rsidRPr="000A2A46">
              <w:t xml:space="preserve"> </w:t>
            </w:r>
            <w:r w:rsidRPr="000A2A46">
              <w:rPr>
                <w:rFonts w:cstheme="minorHAnsi"/>
                <w:sz w:val="18"/>
                <w:szCs w:val="18"/>
              </w:rPr>
              <w:t>en una o dues targetes de xarxa.</w:t>
            </w:r>
          </w:p>
          <w:p w:rsidR="009F6DEC" w:rsidRPr="000A2A46" w:rsidRDefault="009F6DEC" w:rsidP="00A50DCE">
            <w:pPr>
              <w:numPr>
                <w:ilvl w:val="0"/>
                <w:numId w:val="8"/>
              </w:numPr>
              <w:spacing w:after="60" w:line="240" w:lineRule="auto"/>
              <w:jc w:val="both"/>
              <w:rPr>
                <w:rFonts w:cstheme="minorHAnsi"/>
                <w:sz w:val="18"/>
                <w:szCs w:val="18"/>
              </w:rPr>
            </w:pPr>
            <w:r w:rsidRPr="000A2A46">
              <w:rPr>
                <w:rFonts w:cstheme="minorHAnsi"/>
                <w:sz w:val="18"/>
                <w:szCs w:val="18"/>
              </w:rPr>
              <w:t>Quatre ports 10/25GbE amb interfície SFP28 en dues targetes de xarxa de dos ports cadascuna. Els ports de les targetes han de poder funcionar a 10GbE i a 25GbE.</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servidor</w:t>
            </w:r>
          </w:p>
          <w:p w:rsidR="009F6DEC" w:rsidRPr="000A2A46" w:rsidRDefault="009F6DEC" w:rsidP="00A50DCE">
            <w:pPr>
              <w:spacing w:after="120" w:line="288" w:lineRule="auto"/>
              <w:jc w:val="both"/>
              <w:rPr>
                <w:rFonts w:cstheme="minorHAns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 les targetes</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B7</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Les targetes de xarxa amb els ports a 10/25GbE hauran de suportar la tecnologia </w:t>
            </w:r>
            <w:proofErr w:type="spellStart"/>
            <w:r w:rsidRPr="000A2A46">
              <w:rPr>
                <w:rFonts w:cstheme="minorHAnsi"/>
                <w:sz w:val="18"/>
                <w:szCs w:val="18"/>
              </w:rPr>
              <w:t>RoCE</w:t>
            </w:r>
            <w:proofErr w:type="spellEnd"/>
            <w:r w:rsidRPr="000A2A46">
              <w:rPr>
                <w:rFonts w:cstheme="minorHAnsi"/>
                <w:sz w:val="18"/>
                <w:szCs w:val="18"/>
              </w:rPr>
              <w:t xml:space="preserve"> (RDMA over </w:t>
            </w:r>
            <w:proofErr w:type="spellStart"/>
            <w:r w:rsidRPr="000A2A46">
              <w:rPr>
                <w:rFonts w:cstheme="minorHAnsi"/>
                <w:sz w:val="18"/>
                <w:szCs w:val="18"/>
              </w:rPr>
              <w:t>Converged</w:t>
            </w:r>
            <w:proofErr w:type="spellEnd"/>
            <w:r w:rsidRPr="000A2A46">
              <w:rPr>
                <w:rFonts w:cstheme="minorHAnsi"/>
                <w:sz w:val="18"/>
                <w:szCs w:val="18"/>
              </w:rPr>
              <w:t xml:space="preserve"> </w:t>
            </w:r>
            <w:proofErr w:type="spellStart"/>
            <w:r w:rsidRPr="000A2A46">
              <w:rPr>
                <w:rFonts w:cstheme="minorHAnsi"/>
                <w:sz w:val="18"/>
                <w:szCs w:val="18"/>
              </w:rPr>
              <w:t>Ethernet</w:t>
            </w:r>
            <w:proofErr w:type="spellEnd"/>
            <w:r w:rsidRPr="000A2A46">
              <w:rPr>
                <w:rFonts w:cstheme="minorHAnsi"/>
                <w:sz w:val="18"/>
                <w:szCs w:val="18"/>
              </w:rPr>
              <w:t xml:space="preserve">), DCB (Data </w:t>
            </w:r>
            <w:proofErr w:type="spellStart"/>
            <w:r w:rsidRPr="000A2A46">
              <w:rPr>
                <w:rFonts w:cstheme="minorHAnsi"/>
                <w:sz w:val="18"/>
                <w:szCs w:val="18"/>
              </w:rPr>
              <w:t>Center</w:t>
            </w:r>
            <w:proofErr w:type="spellEnd"/>
            <w:r w:rsidRPr="000A2A46">
              <w:rPr>
                <w:rFonts w:cstheme="minorHAnsi"/>
                <w:sz w:val="18"/>
                <w:szCs w:val="18"/>
              </w:rPr>
              <w:t xml:space="preserve"> </w:t>
            </w:r>
            <w:proofErr w:type="spellStart"/>
            <w:r w:rsidRPr="000A2A46">
              <w:rPr>
                <w:rFonts w:cstheme="minorHAnsi"/>
                <w:sz w:val="18"/>
                <w:szCs w:val="18"/>
              </w:rPr>
              <w:t>Bridging</w:t>
            </w:r>
            <w:proofErr w:type="spellEnd"/>
            <w:r w:rsidRPr="000A2A46">
              <w:rPr>
                <w:rFonts w:cstheme="minorHAnsi"/>
                <w:sz w:val="18"/>
                <w:szCs w:val="18"/>
              </w:rPr>
              <w:t>) i PFC (</w:t>
            </w:r>
            <w:proofErr w:type="spellStart"/>
            <w:r w:rsidRPr="000A2A46">
              <w:rPr>
                <w:rFonts w:cstheme="minorHAnsi"/>
                <w:sz w:val="18"/>
                <w:szCs w:val="18"/>
              </w:rPr>
              <w:t>Priority</w:t>
            </w:r>
            <w:proofErr w:type="spellEnd"/>
            <w:r w:rsidRPr="000A2A46">
              <w:rPr>
                <w:rFonts w:cstheme="minorHAnsi"/>
                <w:sz w:val="18"/>
                <w:szCs w:val="18"/>
              </w:rPr>
              <w:t xml:space="preserve"> </w:t>
            </w:r>
            <w:proofErr w:type="spellStart"/>
            <w:r w:rsidRPr="000A2A46">
              <w:rPr>
                <w:rFonts w:cstheme="minorHAnsi"/>
                <w:sz w:val="18"/>
                <w:szCs w:val="18"/>
              </w:rPr>
              <w:t>Flow</w:t>
            </w:r>
            <w:proofErr w:type="spellEnd"/>
            <w:r w:rsidRPr="000A2A46">
              <w:rPr>
                <w:rFonts w:cstheme="minorHAnsi"/>
                <w:sz w:val="18"/>
                <w:szCs w:val="18"/>
              </w:rPr>
              <w:t xml:space="preserve"> Control, 802.1Qbb)</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 les targetes</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B8</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Dos </w:t>
            </w:r>
            <w:proofErr w:type="spellStart"/>
            <w:r w:rsidRPr="000A2A46">
              <w:rPr>
                <w:rFonts w:cstheme="minorHAnsi"/>
                <w:i/>
                <w:sz w:val="18"/>
                <w:szCs w:val="18"/>
              </w:rPr>
              <w:t>sticks</w:t>
            </w:r>
            <w:proofErr w:type="spellEnd"/>
            <w:r w:rsidRPr="000A2A46">
              <w:rPr>
                <w:rFonts w:cstheme="minorHAnsi"/>
                <w:sz w:val="18"/>
                <w:szCs w:val="18"/>
              </w:rPr>
              <w:t xml:space="preserve"> M.2 o dues unitats SSD per al sistema operatiu, amb la corresponent controladora si escau. La capacitat de cada </w:t>
            </w:r>
            <w:proofErr w:type="spellStart"/>
            <w:r w:rsidRPr="000A2A46">
              <w:rPr>
                <w:rFonts w:cstheme="minorHAnsi"/>
                <w:sz w:val="18"/>
                <w:szCs w:val="18"/>
              </w:rPr>
              <w:t>stick</w:t>
            </w:r>
            <w:proofErr w:type="spellEnd"/>
            <w:r w:rsidRPr="000A2A46">
              <w:rPr>
                <w:rFonts w:cstheme="minorHAnsi"/>
                <w:sz w:val="18"/>
                <w:szCs w:val="18"/>
              </w:rPr>
              <w:t xml:space="preserve"> o unitat serà com a mínim de 240GB i estaran configurats en RAID1, independentment del tipus de dispositiu instal·lat</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 </w:t>
            </w:r>
            <w:r w:rsidRPr="000A2A46">
              <w:rPr>
                <w:rFonts w:cstheme="minorHAnsi"/>
                <w:color w:val="ED7D31" w:themeColor="accent2"/>
                <w:sz w:val="18"/>
                <w:szCs w:val="18"/>
              </w:rPr>
              <w:t>No requerit</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B9</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Connexió dedicada </w:t>
            </w:r>
            <w:proofErr w:type="spellStart"/>
            <w:r w:rsidRPr="000A2A46">
              <w:rPr>
                <w:rFonts w:cstheme="minorHAnsi"/>
                <w:i/>
                <w:sz w:val="18"/>
                <w:szCs w:val="18"/>
              </w:rPr>
              <w:t>out</w:t>
            </w:r>
            <w:proofErr w:type="spellEnd"/>
            <w:r w:rsidRPr="000A2A46">
              <w:rPr>
                <w:rFonts w:cstheme="minorHAnsi"/>
                <w:i/>
                <w:sz w:val="18"/>
                <w:szCs w:val="18"/>
              </w:rPr>
              <w:t>-of-</w:t>
            </w:r>
            <w:proofErr w:type="spellStart"/>
            <w:r w:rsidRPr="000A2A46">
              <w:rPr>
                <w:rFonts w:cstheme="minorHAnsi"/>
                <w:i/>
                <w:sz w:val="18"/>
                <w:szCs w:val="18"/>
              </w:rPr>
              <w:t>band</w:t>
            </w:r>
            <w:proofErr w:type="spellEnd"/>
            <w:r w:rsidRPr="000A2A46">
              <w:rPr>
                <w:rFonts w:cstheme="minorHAnsi"/>
                <w:sz w:val="18"/>
                <w:szCs w:val="18"/>
              </w:rPr>
              <w:t xml:space="preserve"> </w:t>
            </w:r>
            <w:proofErr w:type="spellStart"/>
            <w:r w:rsidRPr="000A2A46">
              <w:rPr>
                <w:rFonts w:cstheme="minorHAnsi"/>
                <w:sz w:val="18"/>
                <w:szCs w:val="18"/>
              </w:rPr>
              <w:t>Ethernet</w:t>
            </w:r>
            <w:proofErr w:type="spellEnd"/>
            <w:r w:rsidRPr="000A2A46">
              <w:rPr>
                <w:rFonts w:cstheme="minorHAnsi"/>
                <w:sz w:val="18"/>
                <w:szCs w:val="18"/>
              </w:rPr>
              <w:t xml:space="preserve"> Base-T per a l’administració i l’operació remota del servidor. Aquesta connexió ha de permetre connectar remotament a la consola del servidor (entorn KVM) i ha d’incloure les llicències addicionals necessàries per a tal fi, si escau</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servidor</w:t>
            </w:r>
          </w:p>
          <w:p w:rsidR="009F6DEC" w:rsidRPr="000A2A46" w:rsidRDefault="009F6DEC" w:rsidP="00A50DCE">
            <w:pPr>
              <w:spacing w:after="120" w:line="288" w:lineRule="auto"/>
              <w:jc w:val="both"/>
              <w:rPr>
                <w:rFonts w:cstheme="minorHAnsi"/>
                <w:sz w:val="18"/>
                <w:szCs w:val="18"/>
              </w:rPr>
            </w:pP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B10</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Doble font d’alimentació en mode redundant i substituïble en calent. Les fonts d’alimentació han de tenir la potència suficient per alimentar tots els components del servidor comptant que totes les ranures de memòria s’acabin ocupant, encara que no sigui així en el disseny inicial</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servidor</w:t>
            </w:r>
          </w:p>
          <w:p w:rsidR="009F6DEC" w:rsidRPr="000A2A46" w:rsidRDefault="009F6DEC" w:rsidP="00A50DCE">
            <w:pPr>
              <w:spacing w:after="120" w:line="288" w:lineRule="auto"/>
              <w:jc w:val="both"/>
              <w:rPr>
                <w:rFonts w:cstheme="minorHAnsi"/>
                <w:sz w:val="18"/>
                <w:szCs w:val="18"/>
              </w:rPr>
            </w:pP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B11</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Ventiladors de refrigeració interns redundats</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 servidor</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lastRenderedPageBreak/>
              <w:t>B12</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Guies </w:t>
            </w:r>
            <w:proofErr w:type="spellStart"/>
            <w:r w:rsidRPr="000A2A46">
              <w:rPr>
                <w:rFonts w:cstheme="minorHAnsi"/>
                <w:sz w:val="18"/>
                <w:szCs w:val="18"/>
              </w:rPr>
              <w:t>extraïbles</w:t>
            </w:r>
            <w:proofErr w:type="spellEnd"/>
            <w:r w:rsidRPr="000A2A46">
              <w:rPr>
                <w:rFonts w:cstheme="minorHAnsi"/>
                <w:sz w:val="18"/>
                <w:szCs w:val="18"/>
              </w:rPr>
              <w:t xml:space="preserve"> telescòpiques de muntatge en bastidor estàndard de 19”, amb braç de cablejat, per poder extreure el servidor sobre les guies sense haver de desconnectar cap cable</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sz w:val="18"/>
                <w:szCs w:val="18"/>
              </w:rPr>
            </w:pPr>
            <w:r w:rsidRPr="000A2A46">
              <w:rPr>
                <w:rFonts w:cstheme="minorHAnsi"/>
                <w:color w:val="ED7D31" w:themeColor="accent2"/>
                <w:sz w:val="18"/>
                <w:szCs w:val="18"/>
              </w:rPr>
              <w:t>No requerit</w:t>
            </w:r>
          </w:p>
        </w:tc>
      </w:tr>
      <w:tr w:rsidR="009F6DEC" w:rsidRPr="000A2A46" w:rsidTr="00A50DCE">
        <w:trPr>
          <w:cantSplit/>
        </w:trPr>
        <w:tc>
          <w:tcPr>
            <w:tcW w:w="5000" w:type="pct"/>
            <w:gridSpan w:val="4"/>
            <w:shd w:val="clear" w:color="auto" w:fill="F2F2F2" w:themeFill="background1" w:themeFillShade="F2"/>
          </w:tcPr>
          <w:p w:rsidR="009F6DEC" w:rsidRPr="000A2A46" w:rsidRDefault="009F6DEC" w:rsidP="00A50DCE">
            <w:pPr>
              <w:spacing w:after="120" w:line="288" w:lineRule="auto"/>
              <w:jc w:val="both"/>
              <w:rPr>
                <w:rFonts w:cstheme="minorHAnsi"/>
                <w:b/>
                <w:sz w:val="18"/>
                <w:szCs w:val="18"/>
              </w:rPr>
            </w:pPr>
            <w:r w:rsidRPr="000A2A46">
              <w:rPr>
                <w:rFonts w:cstheme="minorHAnsi"/>
                <w:b/>
                <w:sz w:val="18"/>
                <w:szCs w:val="18"/>
              </w:rPr>
              <w:t>Requeriments referents al cablejat i als transceptors</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C1</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Caldrà incloure 6 cables de tipus Direct </w:t>
            </w:r>
            <w:proofErr w:type="spellStart"/>
            <w:r w:rsidRPr="000A2A46">
              <w:rPr>
                <w:rFonts w:cstheme="minorHAnsi"/>
                <w:sz w:val="18"/>
                <w:szCs w:val="18"/>
              </w:rPr>
              <w:t>Attach</w:t>
            </w:r>
            <w:proofErr w:type="spellEnd"/>
            <w:r w:rsidRPr="000A2A46">
              <w:rPr>
                <w:rFonts w:cstheme="minorHAnsi"/>
                <w:sz w:val="18"/>
                <w:szCs w:val="18"/>
              </w:rPr>
              <w:t xml:space="preserve"> Cables (DAC), del mateix fabricant que els servidors sempre que sigui possible, per a la connexió a 25GbE dels servidors amb l’emmagatzematge. En qualsevol cas els cables han d’estar certificats per funcionar amb els servidors escollits</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r w:rsidRPr="000A2A46">
              <w:rPr>
                <w:rFonts w:cstheme="minorHAnsi"/>
                <w:sz w:val="18"/>
                <w:szCs w:val="18"/>
              </w:rPr>
              <w:t xml:space="preserve"> </w:t>
            </w:r>
            <w:proofErr w:type="spellStart"/>
            <w:r w:rsidRPr="000A2A46">
              <w:rPr>
                <w:rFonts w:cstheme="minorHAnsi"/>
                <w:i/>
                <w:sz w:val="18"/>
                <w:szCs w:val="18"/>
              </w:rPr>
              <w:t>Datasheet</w:t>
            </w:r>
            <w:proofErr w:type="spellEnd"/>
            <w:r w:rsidRPr="000A2A46">
              <w:rPr>
                <w:rFonts w:cstheme="minorHAnsi"/>
                <w:i/>
                <w:sz w:val="18"/>
                <w:szCs w:val="18"/>
              </w:rPr>
              <w:t xml:space="preserve"> dels cables DAC</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C2</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Per a la connexió amb la xarxa LAN del CSAPG s’hauran d’incloure:</w:t>
            </w:r>
          </w:p>
          <w:p w:rsidR="009F6DEC" w:rsidRPr="000A2A46" w:rsidRDefault="009F6DEC" w:rsidP="00A50DCE">
            <w:pPr>
              <w:numPr>
                <w:ilvl w:val="0"/>
                <w:numId w:val="8"/>
              </w:numPr>
              <w:spacing w:after="80" w:line="240" w:lineRule="auto"/>
              <w:jc w:val="both"/>
              <w:rPr>
                <w:rFonts w:cstheme="minorHAnsi"/>
                <w:sz w:val="18"/>
                <w:szCs w:val="18"/>
              </w:rPr>
            </w:pPr>
            <w:r w:rsidRPr="000A2A46">
              <w:rPr>
                <w:rFonts w:cstheme="minorHAnsi"/>
                <w:sz w:val="18"/>
                <w:szCs w:val="18"/>
              </w:rPr>
              <w:t xml:space="preserve">6 transceptors de 10Gbps de tipus SFP+/SFP28, </w:t>
            </w:r>
            <w:proofErr w:type="spellStart"/>
            <w:r w:rsidRPr="000A2A46">
              <w:rPr>
                <w:rFonts w:cstheme="minorHAnsi"/>
                <w:sz w:val="18"/>
                <w:szCs w:val="18"/>
              </w:rPr>
              <w:t>short-range</w:t>
            </w:r>
            <w:proofErr w:type="spellEnd"/>
            <w:r w:rsidRPr="000A2A46">
              <w:rPr>
                <w:rFonts w:cstheme="minorHAnsi"/>
                <w:sz w:val="18"/>
                <w:szCs w:val="18"/>
              </w:rPr>
              <w:t xml:space="preserve"> (SR), multimode i connector LC dúplex, proporcionats pel mateix fabricant que els servidors.</w:t>
            </w:r>
          </w:p>
          <w:p w:rsidR="009F6DEC" w:rsidRPr="000A2A46" w:rsidRDefault="009F6DEC" w:rsidP="00A50DCE">
            <w:pPr>
              <w:numPr>
                <w:ilvl w:val="0"/>
                <w:numId w:val="8"/>
              </w:numPr>
              <w:spacing w:after="80" w:line="240" w:lineRule="auto"/>
              <w:jc w:val="both"/>
              <w:rPr>
                <w:rFonts w:cstheme="minorHAnsi"/>
                <w:sz w:val="18"/>
                <w:szCs w:val="18"/>
              </w:rPr>
            </w:pPr>
            <w:r w:rsidRPr="000A2A46">
              <w:rPr>
                <w:rFonts w:cstheme="minorHAnsi"/>
                <w:sz w:val="18"/>
                <w:szCs w:val="18"/>
              </w:rPr>
              <w:t xml:space="preserve">6 transceptors de 10Gbps de tipus SFP+, </w:t>
            </w:r>
            <w:proofErr w:type="spellStart"/>
            <w:r w:rsidRPr="000A2A46">
              <w:rPr>
                <w:rFonts w:cstheme="minorHAnsi"/>
                <w:sz w:val="18"/>
                <w:szCs w:val="18"/>
              </w:rPr>
              <w:t>short-range</w:t>
            </w:r>
            <w:proofErr w:type="spellEnd"/>
            <w:r w:rsidRPr="000A2A46">
              <w:rPr>
                <w:rFonts w:cstheme="minorHAnsi"/>
                <w:sz w:val="18"/>
                <w:szCs w:val="18"/>
              </w:rPr>
              <w:t xml:space="preserve"> (SR), multimode i connector LC dúplex, compatibles amb commutadors </w:t>
            </w:r>
            <w:proofErr w:type="spellStart"/>
            <w:r w:rsidRPr="000A2A46">
              <w:rPr>
                <w:rFonts w:cstheme="minorHAnsi"/>
                <w:sz w:val="18"/>
                <w:szCs w:val="18"/>
              </w:rPr>
              <w:t>HPe</w:t>
            </w:r>
            <w:proofErr w:type="spellEnd"/>
            <w:r w:rsidRPr="000A2A46">
              <w:rPr>
                <w:rFonts w:cstheme="minorHAnsi"/>
                <w:sz w:val="18"/>
                <w:szCs w:val="18"/>
              </w:rPr>
              <w:t>-Aruba 5400R zl2.</w:t>
            </w:r>
          </w:p>
          <w:p w:rsidR="009F6DEC" w:rsidRPr="000A2A46" w:rsidRDefault="009F6DEC" w:rsidP="00A50DCE">
            <w:pPr>
              <w:numPr>
                <w:ilvl w:val="0"/>
                <w:numId w:val="8"/>
              </w:numPr>
              <w:spacing w:after="80" w:line="240" w:lineRule="auto"/>
              <w:jc w:val="both"/>
              <w:rPr>
                <w:rFonts w:cstheme="minorHAnsi"/>
                <w:sz w:val="18"/>
                <w:szCs w:val="18"/>
              </w:rPr>
            </w:pPr>
            <w:r w:rsidRPr="000A2A46">
              <w:rPr>
                <w:rFonts w:cstheme="minorHAnsi"/>
                <w:sz w:val="18"/>
                <w:szCs w:val="18"/>
              </w:rPr>
              <w:t>6 cables de fibra OM3 com a mínim, multimode i amb connector LC.</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i/>
                <w:sz w:val="18"/>
                <w:szCs w:val="18"/>
              </w:rPr>
            </w:pPr>
            <w:proofErr w:type="spellStart"/>
            <w:r w:rsidRPr="000A2A46">
              <w:rPr>
                <w:rFonts w:cstheme="minorHAnsi"/>
                <w:i/>
                <w:sz w:val="18"/>
                <w:szCs w:val="18"/>
              </w:rPr>
              <w:t>Datasheet</w:t>
            </w:r>
            <w:proofErr w:type="spellEnd"/>
            <w:r w:rsidRPr="000A2A46">
              <w:rPr>
                <w:rFonts w:cstheme="minorHAnsi"/>
                <w:i/>
                <w:sz w:val="18"/>
                <w:szCs w:val="18"/>
              </w:rPr>
              <w:t xml:space="preserve"> dels transceptors</w:t>
            </w:r>
          </w:p>
        </w:tc>
      </w:tr>
      <w:tr w:rsidR="009F6DEC" w:rsidRPr="000A2A46" w:rsidTr="00A50DCE">
        <w:trPr>
          <w:cantSplit/>
        </w:trPr>
        <w:tc>
          <w:tcPr>
            <w:tcW w:w="203"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C3</w:t>
            </w:r>
          </w:p>
        </w:tc>
        <w:tc>
          <w:tcPr>
            <w:tcW w:w="1862" w:type="pct"/>
          </w:tcPr>
          <w:p w:rsidR="009F6DEC" w:rsidRPr="000A2A46" w:rsidRDefault="009F6DEC" w:rsidP="00A50DCE">
            <w:pPr>
              <w:spacing w:after="120" w:line="288" w:lineRule="auto"/>
              <w:jc w:val="both"/>
              <w:rPr>
                <w:rFonts w:cstheme="minorHAnsi"/>
                <w:sz w:val="18"/>
                <w:szCs w:val="18"/>
              </w:rPr>
            </w:pPr>
            <w:r w:rsidRPr="000A2A46">
              <w:rPr>
                <w:rFonts w:cstheme="minorHAnsi"/>
                <w:sz w:val="18"/>
                <w:szCs w:val="18"/>
              </w:rPr>
              <w:t xml:space="preserve">També caldrà incloure el cablejat de coure, mínim categoria 6, per connectar els ports de management i administració remota </w:t>
            </w:r>
            <w:proofErr w:type="spellStart"/>
            <w:r w:rsidRPr="000A2A46">
              <w:rPr>
                <w:rFonts w:cstheme="minorHAnsi"/>
                <w:sz w:val="18"/>
                <w:szCs w:val="18"/>
              </w:rPr>
              <w:t>out</w:t>
            </w:r>
            <w:proofErr w:type="spellEnd"/>
            <w:r w:rsidRPr="000A2A46">
              <w:rPr>
                <w:rFonts w:cstheme="minorHAnsi"/>
                <w:sz w:val="18"/>
                <w:szCs w:val="18"/>
              </w:rPr>
              <w:t>-of-</w:t>
            </w:r>
            <w:proofErr w:type="spellStart"/>
            <w:r w:rsidRPr="000A2A46">
              <w:rPr>
                <w:rFonts w:cstheme="minorHAnsi"/>
                <w:sz w:val="18"/>
                <w:szCs w:val="18"/>
              </w:rPr>
              <w:t>band</w:t>
            </w:r>
            <w:proofErr w:type="spellEnd"/>
            <w:r w:rsidRPr="000A2A46">
              <w:rPr>
                <w:rFonts w:cstheme="minorHAnsi"/>
                <w:sz w:val="18"/>
                <w:szCs w:val="18"/>
              </w:rPr>
              <w:t>. Existeixen panells d’interconnexió amb ports lliures suficients entre l’armari on es muntaran els servidors i el bastidor on està muntat el commutador de la xarxa de management</w:t>
            </w:r>
          </w:p>
        </w:tc>
        <w:tc>
          <w:tcPr>
            <w:tcW w:w="1886" w:type="pct"/>
          </w:tcPr>
          <w:p w:rsidR="009F6DEC" w:rsidRPr="000A2A46" w:rsidRDefault="009F6DEC" w:rsidP="00A50DCE">
            <w:pPr>
              <w:spacing w:after="120" w:line="288" w:lineRule="auto"/>
              <w:jc w:val="both"/>
              <w:rPr>
                <w:rFonts w:cstheme="minorHAnsi"/>
                <w:sz w:val="18"/>
                <w:szCs w:val="18"/>
              </w:rPr>
            </w:pPr>
          </w:p>
        </w:tc>
        <w:tc>
          <w:tcPr>
            <w:tcW w:w="1049" w:type="pct"/>
          </w:tcPr>
          <w:p w:rsidR="009F6DEC" w:rsidRPr="000A2A46" w:rsidRDefault="009F6DEC" w:rsidP="00A50DCE">
            <w:pPr>
              <w:spacing w:after="120" w:line="288" w:lineRule="auto"/>
              <w:jc w:val="both"/>
              <w:rPr>
                <w:rFonts w:cstheme="minorHAnsi"/>
                <w:sz w:val="18"/>
                <w:szCs w:val="18"/>
              </w:rPr>
            </w:pPr>
            <w:r w:rsidRPr="000A2A46">
              <w:rPr>
                <w:rFonts w:cstheme="minorHAnsi"/>
                <w:color w:val="ED7D31" w:themeColor="accent2"/>
                <w:sz w:val="18"/>
                <w:szCs w:val="18"/>
              </w:rPr>
              <w:t>No requerit</w:t>
            </w:r>
          </w:p>
        </w:tc>
      </w:tr>
    </w:tbl>
    <w:p w:rsidR="009F6DEC" w:rsidRPr="009F6DEC" w:rsidRDefault="009F6DEC" w:rsidP="009F6DEC">
      <w:pPr>
        <w:tabs>
          <w:tab w:val="left" w:pos="1290"/>
        </w:tabs>
        <w:rPr>
          <w:rFonts w:eastAsiaTheme="minorHAnsi" w:cs="Calibri"/>
        </w:rPr>
        <w:sectPr w:rsidR="009F6DEC" w:rsidRPr="009F6DEC" w:rsidSect="000A2A46">
          <w:headerReference w:type="default" r:id="rId8"/>
          <w:pgSz w:w="16838" w:h="11906" w:orient="landscape" w:code="9"/>
          <w:pgMar w:top="1560" w:right="1418" w:bottom="1418" w:left="1418" w:header="680" w:footer="680" w:gutter="0"/>
          <w:cols w:space="708"/>
          <w:docGrid w:linePitch="360"/>
        </w:sectPr>
      </w:pPr>
      <w:bookmarkStart w:id="1" w:name="_GoBack"/>
      <w:bookmarkEnd w:id="1"/>
    </w:p>
    <w:p w:rsidR="009F6DEC" w:rsidRDefault="009F6DEC" w:rsidP="009F6DEC">
      <w:pPr>
        <w:tabs>
          <w:tab w:val="left" w:pos="3684"/>
        </w:tabs>
        <w:rPr>
          <w:rFonts w:asciiTheme="minorHAnsi" w:eastAsiaTheme="minorHAnsi" w:hAnsiTheme="minorHAnsi" w:cstheme="minorBidi"/>
        </w:rPr>
      </w:pPr>
    </w:p>
    <w:p w:rsidR="000A2A46" w:rsidRPr="009F6DEC" w:rsidRDefault="009F6DEC" w:rsidP="009F6DEC">
      <w:pPr>
        <w:tabs>
          <w:tab w:val="left" w:pos="608"/>
        </w:tabs>
        <w:rPr>
          <w:rFonts w:asciiTheme="minorHAnsi" w:eastAsiaTheme="minorHAnsi" w:hAnsiTheme="minorHAnsi" w:cstheme="minorBidi"/>
        </w:rPr>
        <w:sectPr w:rsidR="000A2A46" w:rsidRPr="009F6DEC" w:rsidSect="009F6DEC">
          <w:headerReference w:type="default" r:id="rId9"/>
          <w:footerReference w:type="default" r:id="rId10"/>
          <w:pgSz w:w="16838" w:h="11906" w:orient="landscape" w:code="9"/>
          <w:pgMar w:top="1418" w:right="2098" w:bottom="1418" w:left="1134" w:header="680" w:footer="680" w:gutter="0"/>
          <w:cols w:space="708"/>
          <w:docGrid w:linePitch="360"/>
        </w:sectPr>
      </w:pPr>
      <w:r>
        <w:rPr>
          <w:rFonts w:asciiTheme="minorHAnsi" w:eastAsiaTheme="minorHAnsi" w:hAnsiTheme="minorHAnsi" w:cstheme="minorBidi"/>
        </w:rPr>
        <w:tab/>
      </w:r>
    </w:p>
    <w:p w:rsidR="00190C1C" w:rsidRDefault="00190C1C" w:rsidP="009F6DEC">
      <w:pPr>
        <w:keepNext/>
        <w:keepLines/>
        <w:spacing w:before="360" w:after="120" w:line="288" w:lineRule="auto"/>
        <w:jc w:val="both"/>
        <w:outlineLvl w:val="0"/>
        <w:rPr>
          <w:b/>
        </w:rPr>
      </w:pPr>
    </w:p>
    <w:sectPr w:rsidR="00190C1C" w:rsidSect="009F6DEC">
      <w:headerReference w:type="even" r:id="rId11"/>
      <w:pgSz w:w="16838" w:h="11906" w:orient="landscape" w:code="9"/>
      <w:pgMar w:top="1560"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46" w:rsidRDefault="000A2A46" w:rsidP="00754CBE">
      <w:pPr>
        <w:spacing w:after="0" w:line="240" w:lineRule="auto"/>
      </w:pPr>
      <w:r>
        <w:separator/>
      </w:r>
    </w:p>
  </w:endnote>
  <w:endnote w:type="continuationSeparator" w:id="0">
    <w:p w:rsidR="000A2A46" w:rsidRDefault="000A2A46" w:rsidP="0075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46" w:rsidRDefault="000A2A46" w:rsidP="009F6DEC">
    <w:pPr>
      <w:pStyle w:val="Piedepgina"/>
    </w:pPr>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46" w:rsidRDefault="000A2A46" w:rsidP="00754CBE">
      <w:pPr>
        <w:spacing w:after="0" w:line="240" w:lineRule="auto"/>
      </w:pPr>
      <w:r>
        <w:separator/>
      </w:r>
    </w:p>
  </w:footnote>
  <w:footnote w:type="continuationSeparator" w:id="0">
    <w:p w:rsidR="000A2A46" w:rsidRDefault="000A2A46" w:rsidP="00754CBE">
      <w:pPr>
        <w:spacing w:after="0" w:line="240" w:lineRule="auto"/>
      </w:pPr>
      <w:r>
        <w:continuationSeparator/>
      </w:r>
    </w:p>
  </w:footnote>
  <w:footnote w:id="1">
    <w:p w:rsidR="009F6DEC" w:rsidRPr="002C55E1" w:rsidRDefault="009F6DEC" w:rsidP="009F6DEC">
      <w:pPr>
        <w:pStyle w:val="Textonotapie"/>
      </w:pPr>
      <w:r w:rsidRPr="002C55E1">
        <w:rPr>
          <w:rStyle w:val="Refdenotaalpie"/>
        </w:rPr>
        <w:footnoteRef/>
      </w:r>
      <w:r w:rsidRPr="002C55E1">
        <w:t xml:space="preserve"> Si en un mateix document es cobreixen tots els aspectes de l’element en qüestió, no cal referenciar-lo a cada fila, es pot indicar l’ID de la primera fila que el conté.</w:t>
      </w:r>
    </w:p>
  </w:footnote>
  <w:footnote w:id="2">
    <w:p w:rsidR="009F6DEC" w:rsidRPr="006B6FCE" w:rsidRDefault="009F6DEC" w:rsidP="009F6DEC">
      <w:pPr>
        <w:pStyle w:val="Textonotapie"/>
        <w:rPr>
          <w:lang w:val="es-ES"/>
        </w:rPr>
      </w:pPr>
      <w:r w:rsidRPr="002C55E1">
        <w:rPr>
          <w:rStyle w:val="Refdenotaalpie"/>
        </w:rPr>
        <w:footnoteRef/>
      </w:r>
      <w:r w:rsidRPr="002C55E1">
        <w:t xml:space="preserve"> </w:t>
      </w:r>
      <w:r w:rsidRPr="002C55E1">
        <w:t>S’indiquen en cursiva els documents que es poden fer servir per acreditar el compliment.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EC" w:rsidRPr="009F6DEC" w:rsidRDefault="009F6DEC" w:rsidP="009F6DEC">
    <w:pPr>
      <w:pStyle w:val="Encabezado"/>
      <w:tabs>
        <w:tab w:val="clear" w:pos="4252"/>
        <w:tab w:val="clear" w:pos="8504"/>
        <w:tab w:val="left" w:pos="8705"/>
      </w:tabs>
    </w:pPr>
    <w:r w:rsidRPr="009F6DEC">
      <w:rPr>
        <w:noProof/>
        <w:lang w:val="es-ES" w:eastAsia="es-ES"/>
      </w:rPr>
      <mc:AlternateContent>
        <mc:Choice Requires="wps">
          <w:drawing>
            <wp:anchor distT="0" distB="0" distL="114935" distR="114935" simplePos="0" relativeHeight="251663360" behindDoc="0" locked="0" layoutInCell="1" allowOverlap="1" wp14:anchorId="335F6CA8" wp14:editId="6ED82618">
              <wp:simplePos x="0" y="0"/>
              <wp:positionH relativeFrom="margin">
                <wp:align>right</wp:align>
              </wp:positionH>
              <wp:positionV relativeFrom="paragraph">
                <wp:posOffset>173842</wp:posOffset>
              </wp:positionV>
              <wp:extent cx="3430905" cy="59368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5936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DEC" w:rsidRPr="00B54761" w:rsidRDefault="009F6DEC" w:rsidP="009F6DEC">
                          <w:pPr>
                            <w:pStyle w:val="Encabezado"/>
                            <w:jc w:val="right"/>
                            <w:rPr>
                              <w:rFonts w:cs="Calibri"/>
                              <w:b/>
                              <w:bCs/>
                            </w:rPr>
                          </w:pPr>
                          <w:r>
                            <w:rPr>
                              <w:rFonts w:cs="Calibri"/>
                              <w:b/>
                              <w:bCs/>
                            </w:rPr>
                            <w:t>EXP. CSAPG 2023/24</w:t>
                          </w:r>
                        </w:p>
                        <w:p w:rsidR="009F6DEC" w:rsidRPr="00B54761" w:rsidRDefault="009F6DEC" w:rsidP="009F6DEC">
                          <w:pPr>
                            <w:pStyle w:val="Encabezado"/>
                            <w:jc w:val="right"/>
                            <w:rPr>
                              <w:rFonts w:asciiTheme="minorHAnsi" w:hAnsiTheme="minorHAnsi" w:cstheme="minorHAnsi"/>
                              <w:b/>
                              <w:color w:val="2F5496" w:themeColor="accent5" w:themeShade="BF"/>
                            </w:rPr>
                          </w:pPr>
                          <w:r w:rsidRPr="007C2419">
                            <w:rPr>
                              <w:rFonts w:asciiTheme="minorHAnsi" w:hAnsiTheme="minorHAnsi" w:cstheme="minorHAnsi"/>
                              <w:b/>
                              <w:color w:val="2F5496" w:themeColor="accent5" w:themeShade="BF"/>
                            </w:rPr>
                            <w:t>WORKPLACE</w:t>
                          </w:r>
                        </w:p>
                        <w:p w:rsidR="009F6DEC" w:rsidRPr="00482E28" w:rsidRDefault="009F6DEC" w:rsidP="009F6DEC">
                          <w:pPr>
                            <w:pStyle w:val="Encabezado"/>
                            <w:jc w:val="right"/>
                            <w:rPr>
                              <w:rFonts w:eastAsia="SimSun"/>
                              <w:szCs w:val="24"/>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F6CA8" id="_x0000_t202" coordsize="21600,21600" o:spt="202" path="m,l,21600r21600,l21600,xe">
              <v:stroke joinstyle="miter"/>
              <v:path gradientshapeok="t" o:connecttype="rect"/>
            </v:shapetype>
            <v:shape id="Text Box 2" o:spid="_x0000_s1026" type="#_x0000_t202" style="position:absolute;margin-left:218.95pt;margin-top:13.7pt;width:270.15pt;height:46.75pt;z-index:25166336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" stroked="f">
              <v:fill opacity="0"/>
              <v:textbox inset=".05pt,.05pt,.05pt,.05pt">
                <w:txbxContent>
                  <w:p w:rsidR="009F6DEC" w:rsidRPr="00B54761" w:rsidRDefault="009F6DEC" w:rsidP="009F6DEC">
                    <w:pPr>
                      <w:pStyle w:val="Encabezado"/>
                      <w:jc w:val="right"/>
                      <w:rPr>
                        <w:rFonts w:cs="Calibri"/>
                        <w:b/>
                        <w:bCs/>
                      </w:rPr>
                    </w:pPr>
                    <w:r>
                      <w:rPr>
                        <w:rFonts w:cs="Calibri"/>
                        <w:b/>
                        <w:bCs/>
                      </w:rPr>
                      <w:t>EXP. CSAPG 2023/24</w:t>
                    </w:r>
                  </w:p>
                  <w:p w:rsidR="009F6DEC" w:rsidRPr="00B54761" w:rsidRDefault="009F6DEC" w:rsidP="009F6DEC">
                    <w:pPr>
                      <w:pStyle w:val="Encabezado"/>
                      <w:jc w:val="right"/>
                      <w:rPr>
                        <w:rFonts w:asciiTheme="minorHAnsi" w:hAnsiTheme="minorHAnsi" w:cstheme="minorHAnsi"/>
                        <w:b/>
                        <w:color w:val="2F5496" w:themeColor="accent5" w:themeShade="BF"/>
                      </w:rPr>
                    </w:pPr>
                    <w:r w:rsidRPr="007C2419">
                      <w:rPr>
                        <w:rFonts w:asciiTheme="minorHAnsi" w:hAnsiTheme="minorHAnsi" w:cstheme="minorHAnsi"/>
                        <w:b/>
                        <w:color w:val="2F5496" w:themeColor="accent5" w:themeShade="BF"/>
                      </w:rPr>
                      <w:t>WORKPLACE</w:t>
                    </w:r>
                  </w:p>
                  <w:p w:rsidR="009F6DEC" w:rsidRPr="00482E28" w:rsidRDefault="009F6DEC" w:rsidP="009F6DEC">
                    <w:pPr>
                      <w:pStyle w:val="Encabezado"/>
                      <w:jc w:val="right"/>
                      <w:rPr>
                        <w:rFonts w:eastAsia="SimSun"/>
                        <w:szCs w:val="24"/>
                      </w:rPr>
                    </w:pPr>
                  </w:p>
                </w:txbxContent>
              </v:textbox>
              <w10:wrap anchorx="margin"/>
            </v:shape>
          </w:pict>
        </mc:Fallback>
      </mc:AlternateContent>
    </w:r>
    <w:r>
      <w:rPr>
        <w:noProof/>
        <w:lang w:val="es-ES"/>
      </w:rPr>
      <w:drawing>
        <wp:anchor distT="0" distB="0" distL="114300" distR="114300" simplePos="0" relativeHeight="251661312" behindDoc="1" locked="0" layoutInCell="1" allowOverlap="1" wp14:anchorId="3547ECBA" wp14:editId="23517410">
          <wp:simplePos x="0" y="0"/>
          <wp:positionH relativeFrom="margin">
            <wp:posOffset>0</wp:posOffset>
          </wp:positionH>
          <wp:positionV relativeFrom="paragraph">
            <wp:posOffset>165735</wp:posOffset>
          </wp:positionV>
          <wp:extent cx="2447925" cy="407988"/>
          <wp:effectExtent l="0" t="0" r="0" b="0"/>
          <wp:wrapTight wrapText="bothSides">
            <wp:wrapPolygon edited="0">
              <wp:start x="0" y="0"/>
              <wp:lineTo x="0" y="20187"/>
              <wp:lineTo x="21348" y="20187"/>
              <wp:lineTo x="21348" y="0"/>
              <wp:lineTo x="0" y="0"/>
            </wp:wrapPolygon>
          </wp:wrapTight>
          <wp:docPr id="11" name="Imagen 11" descr="logo oficial CSAPG amb 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CSAPG amb S_PET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40798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46" w:rsidRDefault="000A2A46">
    <w:pPr>
      <w:pStyle w:val="Encabezado"/>
    </w:pP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46" w:rsidRPr="00912B10" w:rsidRDefault="000A2A46" w:rsidP="00954DCC">
    <w:pPr>
      <w:pStyle w:val="Encabezado"/>
      <w:jc w:val="right"/>
      <w:rPr>
        <w:b/>
        <w:bCs/>
        <w:sz w:val="24"/>
        <w:szCs w:val="24"/>
      </w:rPr>
    </w:pPr>
    <w:r>
      <w:rPr>
        <w:noProof/>
        <w:lang w:val="es-ES" w:eastAsia="es-ES"/>
      </w:rPr>
      <w:drawing>
        <wp:anchor distT="0" distB="0" distL="114300" distR="114300" simplePos="0" relativeHeight="251655680" behindDoc="1" locked="0" layoutInCell="1" allowOverlap="1" wp14:anchorId="3919FF82" wp14:editId="0ADFFA27">
          <wp:simplePos x="0" y="0"/>
          <wp:positionH relativeFrom="column">
            <wp:posOffset>-308610</wp:posOffset>
          </wp:positionH>
          <wp:positionV relativeFrom="paragraph">
            <wp:posOffset>-28575</wp:posOffset>
          </wp:positionV>
          <wp:extent cx="1856740" cy="628015"/>
          <wp:effectExtent l="0" t="0" r="0" b="0"/>
          <wp:wrapNone/>
          <wp:docPr id="5" name="Imagen 3" descr="C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B10">
      <w:rPr>
        <w:b/>
        <w:bCs/>
        <w:sz w:val="24"/>
        <w:szCs w:val="24"/>
      </w:rPr>
      <w:t xml:space="preserve">PLEC DE </w:t>
    </w:r>
    <w:r>
      <w:rPr>
        <w:b/>
        <w:bCs/>
        <w:sz w:val="24"/>
        <w:szCs w:val="24"/>
      </w:rPr>
      <w:t>PRESCRIPCIONS TÈCNIQUES</w:t>
    </w:r>
    <w:r w:rsidRPr="00912B10">
      <w:rPr>
        <w:b/>
        <w:bCs/>
        <w:sz w:val="24"/>
        <w:szCs w:val="24"/>
      </w:rPr>
      <w:t xml:space="preserve"> </w:t>
    </w:r>
  </w:p>
  <w:p w:rsidR="000A2A46" w:rsidRDefault="000A2A46" w:rsidP="0004669A">
    <w:pPr>
      <w:pStyle w:val="Encabezado"/>
      <w:jc w:val="right"/>
      <w:rPr>
        <w:b/>
        <w:bCs/>
        <w:sz w:val="24"/>
        <w:szCs w:val="24"/>
      </w:rPr>
    </w:pPr>
    <w:r w:rsidRPr="00912B10">
      <w:rPr>
        <w:b/>
        <w:bCs/>
        <w:sz w:val="24"/>
        <w:szCs w:val="24"/>
      </w:rPr>
      <w:t>CP 201</w:t>
    </w:r>
    <w:r>
      <w:rPr>
        <w:b/>
        <w:bCs/>
        <w:sz w:val="24"/>
        <w:szCs w:val="24"/>
      </w:rPr>
      <w:t>8</w:t>
    </w:r>
    <w:r w:rsidRPr="00912B10">
      <w:rPr>
        <w:b/>
        <w:bCs/>
        <w:sz w:val="24"/>
        <w:szCs w:val="24"/>
      </w:rPr>
      <w:t>-</w:t>
    </w:r>
    <w:r>
      <w:rPr>
        <w:b/>
        <w:bCs/>
        <w:sz w:val="24"/>
        <w:szCs w:val="24"/>
      </w:rPr>
      <w:t>05</w:t>
    </w:r>
  </w:p>
  <w:p w:rsidR="000A2A46" w:rsidRDefault="000A2A46" w:rsidP="0004669A">
    <w:pPr>
      <w:pStyle w:val="Encabezado"/>
      <w:jc w:val="right"/>
      <w:rPr>
        <w:b/>
        <w:color w:val="0070C0"/>
        <w:szCs w:val="20"/>
        <w:lang w:eastAsia="es-ES"/>
      </w:rPr>
    </w:pPr>
    <w:r w:rsidRPr="00DE0C3E">
      <w:rPr>
        <w:b/>
        <w:color w:val="0070C0"/>
        <w:szCs w:val="20"/>
        <w:lang w:eastAsia="es-ES"/>
      </w:rPr>
      <w:t xml:space="preserve">SUBMINISTRAMENT DE </w:t>
    </w:r>
    <w:r>
      <w:rPr>
        <w:b/>
        <w:color w:val="0070C0"/>
        <w:szCs w:val="20"/>
        <w:lang w:eastAsia="es-ES"/>
      </w:rPr>
      <w:t xml:space="preserve">DUES TORRES DE LAPAROSCÒPIA </w:t>
    </w:r>
  </w:p>
  <w:p w:rsidR="000A2A46" w:rsidRPr="00DE0C3E" w:rsidRDefault="000A2A46" w:rsidP="0004669A">
    <w:pPr>
      <w:pStyle w:val="Encabezado"/>
      <w:jc w:val="right"/>
      <w:rPr>
        <w:b/>
        <w:color w:val="0070C0"/>
        <w:szCs w:val="20"/>
        <w:lang w:eastAsia="es-ES"/>
      </w:rPr>
    </w:pPr>
    <w:r>
      <w:rPr>
        <w:b/>
        <w:color w:val="0070C0"/>
        <w:szCs w:val="20"/>
        <w:lang w:eastAsia="es-ES"/>
      </w:rPr>
      <w:t>PER AL BLOC QUIRÚRGIC DEL CONSORCI SANITARI DE L’ALT PENEDÈS GARRAF</w:t>
    </w:r>
  </w:p>
  <w:p w:rsidR="000A2A46" w:rsidRDefault="000A2A46">
    <w:pPr>
      <w:pStyle w:val="Encabezado"/>
    </w:pPr>
  </w:p>
  <w:p w:rsidR="000A2A46" w:rsidRDefault="000A2A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37E"/>
    <w:multiLevelType w:val="hybridMultilevel"/>
    <w:tmpl w:val="82FC91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8304B3"/>
    <w:multiLevelType w:val="hybridMultilevel"/>
    <w:tmpl w:val="02A02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2B1D29"/>
    <w:multiLevelType w:val="hybridMultilevel"/>
    <w:tmpl w:val="CB6C8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303E0E"/>
    <w:multiLevelType w:val="hybridMultilevel"/>
    <w:tmpl w:val="E07A59CE"/>
    <w:lvl w:ilvl="0" w:tplc="A6AA6706">
      <w:start w:val="2"/>
      <w:numFmt w:val="bullet"/>
      <w:lvlText w:val="-"/>
      <w:lvlJc w:val="left"/>
      <w:pPr>
        <w:ind w:left="1068" w:hanging="360"/>
      </w:pPr>
      <w:rPr>
        <w:rFonts w:ascii="Arial" w:eastAsia="Arial"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05345D9B"/>
    <w:multiLevelType w:val="hybridMultilevel"/>
    <w:tmpl w:val="B7F6F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28278A"/>
    <w:multiLevelType w:val="hybridMultilevel"/>
    <w:tmpl w:val="A7584436"/>
    <w:lvl w:ilvl="0" w:tplc="20B8B980">
      <w:start w:val="1"/>
      <w:numFmt w:val="decimal"/>
      <w:pStyle w:val="Ttulo1"/>
      <w:lvlText w:val="%1."/>
      <w:lvlJc w:val="left"/>
      <w:pPr>
        <w:ind w:left="3905"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09506205"/>
    <w:multiLevelType w:val="hybridMultilevel"/>
    <w:tmpl w:val="43DCD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2857AE"/>
    <w:multiLevelType w:val="hybridMultilevel"/>
    <w:tmpl w:val="C90C47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B5147"/>
    <w:multiLevelType w:val="hybridMultilevel"/>
    <w:tmpl w:val="B5FAC5F2"/>
    <w:lvl w:ilvl="0" w:tplc="30C6AB14">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3E53C5"/>
    <w:multiLevelType w:val="hybridMultilevel"/>
    <w:tmpl w:val="D2E2A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0B297A"/>
    <w:multiLevelType w:val="hybridMultilevel"/>
    <w:tmpl w:val="27CAEC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780902"/>
    <w:multiLevelType w:val="hybridMultilevel"/>
    <w:tmpl w:val="66E25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6869F6"/>
    <w:multiLevelType w:val="multilevel"/>
    <w:tmpl w:val="8F205162"/>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E100F28"/>
    <w:multiLevelType w:val="hybridMultilevel"/>
    <w:tmpl w:val="44BA0288"/>
    <w:lvl w:ilvl="0" w:tplc="9D3EBB10">
      <w:numFmt w:val="bullet"/>
      <w:lvlText w:val="-"/>
      <w:lvlJc w:val="left"/>
      <w:pPr>
        <w:ind w:left="720" w:hanging="360"/>
      </w:pPr>
      <w:rPr>
        <w:rFonts w:ascii="Calibri" w:eastAsia="Times New Roman"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3C872AF"/>
    <w:multiLevelType w:val="hybridMultilevel"/>
    <w:tmpl w:val="1F1E40EA"/>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5" w15:restartNumberingAfterBreak="0">
    <w:nsid w:val="2831112E"/>
    <w:multiLevelType w:val="hybridMultilevel"/>
    <w:tmpl w:val="876CA3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B46A34"/>
    <w:multiLevelType w:val="hybridMultilevel"/>
    <w:tmpl w:val="1A3E1958"/>
    <w:lvl w:ilvl="0" w:tplc="0DA0F644">
      <w:start w:val="8800"/>
      <w:numFmt w:val="decimalZero"/>
      <w:lvlText w:val="%1"/>
      <w:lvlJc w:val="left"/>
      <w:pPr>
        <w:ind w:left="885" w:hanging="52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223F30"/>
    <w:multiLevelType w:val="hybridMultilevel"/>
    <w:tmpl w:val="9E408020"/>
    <w:lvl w:ilvl="0" w:tplc="0C0A0001">
      <w:start w:val="1"/>
      <w:numFmt w:val="bullet"/>
      <w:lvlText w:val=""/>
      <w:lvlJc w:val="left"/>
      <w:pPr>
        <w:ind w:left="720" w:hanging="360"/>
      </w:pPr>
      <w:rPr>
        <w:rFonts w:ascii="Symbol" w:hAnsi="Symbol" w:hint="default"/>
      </w:rPr>
    </w:lvl>
    <w:lvl w:ilvl="1" w:tplc="E94A55E0">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0E78D5"/>
    <w:multiLevelType w:val="hybridMultilevel"/>
    <w:tmpl w:val="A7701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FF0784"/>
    <w:multiLevelType w:val="hybridMultilevel"/>
    <w:tmpl w:val="F75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1F7B80"/>
    <w:multiLevelType w:val="hybridMultilevel"/>
    <w:tmpl w:val="63F88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137607"/>
    <w:multiLevelType w:val="hybridMultilevel"/>
    <w:tmpl w:val="82A0D5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5F4EE7"/>
    <w:multiLevelType w:val="hybridMultilevel"/>
    <w:tmpl w:val="70446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861AC1"/>
    <w:multiLevelType w:val="hybridMultilevel"/>
    <w:tmpl w:val="23700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0C21EC"/>
    <w:multiLevelType w:val="hybridMultilevel"/>
    <w:tmpl w:val="14263E9C"/>
    <w:lvl w:ilvl="0" w:tplc="2474DB06">
      <w:start w:val="12"/>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FB77C7"/>
    <w:multiLevelType w:val="hybridMultilevel"/>
    <w:tmpl w:val="E43A2B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A281C32"/>
    <w:multiLevelType w:val="hybridMultilevel"/>
    <w:tmpl w:val="B192C5C0"/>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7" w15:restartNumberingAfterBreak="0">
    <w:nsid w:val="4A44483B"/>
    <w:multiLevelType w:val="hybridMultilevel"/>
    <w:tmpl w:val="67A82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B93CE8"/>
    <w:multiLevelType w:val="hybridMultilevel"/>
    <w:tmpl w:val="86144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1E4A20"/>
    <w:multiLevelType w:val="hybridMultilevel"/>
    <w:tmpl w:val="030A0F9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0" w15:restartNumberingAfterBreak="0">
    <w:nsid w:val="517126E8"/>
    <w:multiLevelType w:val="hybridMultilevel"/>
    <w:tmpl w:val="B8FC4F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5B66AD0"/>
    <w:multiLevelType w:val="hybridMultilevel"/>
    <w:tmpl w:val="01881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943228"/>
    <w:multiLevelType w:val="hybridMultilevel"/>
    <w:tmpl w:val="A7668E9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7007223"/>
    <w:multiLevelType w:val="hybridMultilevel"/>
    <w:tmpl w:val="EF902E3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716363C"/>
    <w:multiLevelType w:val="hybridMultilevel"/>
    <w:tmpl w:val="9020903C"/>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35" w15:restartNumberingAfterBreak="0">
    <w:nsid w:val="572D23D3"/>
    <w:multiLevelType w:val="hybridMultilevel"/>
    <w:tmpl w:val="213EB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0A613A"/>
    <w:multiLevelType w:val="hybridMultilevel"/>
    <w:tmpl w:val="84482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B26112D"/>
    <w:multiLevelType w:val="hybridMultilevel"/>
    <w:tmpl w:val="4BBCE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0CA6EEE"/>
    <w:multiLevelType w:val="hybridMultilevel"/>
    <w:tmpl w:val="18BA15F6"/>
    <w:lvl w:ilvl="0" w:tplc="FBE0731A">
      <w:start w:val="14"/>
      <w:numFmt w:val="bullet"/>
      <w:lvlText w:val=""/>
      <w:lvlJc w:val="left"/>
      <w:pPr>
        <w:ind w:left="720" w:hanging="360"/>
      </w:pPr>
      <w:rPr>
        <w:rFonts w:ascii="Wingdings" w:eastAsiaTheme="minorHAnsi" w:hAnsi="Wingding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A45632"/>
    <w:multiLevelType w:val="hybridMultilevel"/>
    <w:tmpl w:val="0382D3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4D76A60"/>
    <w:multiLevelType w:val="hybridMultilevel"/>
    <w:tmpl w:val="476A19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67EF1523"/>
    <w:multiLevelType w:val="hybridMultilevel"/>
    <w:tmpl w:val="428C6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8F95F4A"/>
    <w:multiLevelType w:val="hybridMultilevel"/>
    <w:tmpl w:val="A8322FBC"/>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43" w15:restartNumberingAfterBreak="0">
    <w:nsid w:val="6BED4045"/>
    <w:multiLevelType w:val="hybridMultilevel"/>
    <w:tmpl w:val="C1C06C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32851"/>
    <w:multiLevelType w:val="hybridMultilevel"/>
    <w:tmpl w:val="75C8EA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E0E5D24">
      <w:start w:val="47"/>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01704B"/>
    <w:multiLevelType w:val="hybridMultilevel"/>
    <w:tmpl w:val="74660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090983"/>
    <w:multiLevelType w:val="hybridMultilevel"/>
    <w:tmpl w:val="66125B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2697911"/>
    <w:multiLevelType w:val="hybridMultilevel"/>
    <w:tmpl w:val="86782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60B4E2B"/>
    <w:multiLevelType w:val="hybridMultilevel"/>
    <w:tmpl w:val="37144C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9" w15:restartNumberingAfterBreak="0">
    <w:nsid w:val="7A7F24B5"/>
    <w:multiLevelType w:val="hybridMultilevel"/>
    <w:tmpl w:val="F14EE64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5"/>
    <w:lvlOverride w:ilvl="0">
      <w:startOverride w:val="1"/>
    </w:lvlOverride>
  </w:num>
  <w:num w:numId="2">
    <w:abstractNumId w:val="25"/>
  </w:num>
  <w:num w:numId="3">
    <w:abstractNumId w:val="13"/>
  </w:num>
  <w:num w:numId="4">
    <w:abstractNumId w:val="29"/>
  </w:num>
  <w:num w:numId="5">
    <w:abstractNumId w:val="3"/>
  </w:num>
  <w:num w:numId="6">
    <w:abstractNumId w:val="12"/>
  </w:num>
  <w:num w:numId="7">
    <w:abstractNumId w:val="23"/>
  </w:num>
  <w:num w:numId="8">
    <w:abstractNumId w:val="46"/>
  </w:num>
  <w:num w:numId="9">
    <w:abstractNumId w:val="36"/>
  </w:num>
  <w:num w:numId="10">
    <w:abstractNumId w:val="20"/>
  </w:num>
  <w:num w:numId="11">
    <w:abstractNumId w:val="11"/>
  </w:num>
  <w:num w:numId="12">
    <w:abstractNumId w:val="49"/>
  </w:num>
  <w:num w:numId="13">
    <w:abstractNumId w:val="4"/>
  </w:num>
  <w:num w:numId="14">
    <w:abstractNumId w:val="43"/>
  </w:num>
  <w:num w:numId="15">
    <w:abstractNumId w:val="10"/>
  </w:num>
  <w:num w:numId="16">
    <w:abstractNumId w:val="32"/>
  </w:num>
  <w:num w:numId="17">
    <w:abstractNumId w:val="33"/>
  </w:num>
  <w:num w:numId="18">
    <w:abstractNumId w:val="30"/>
  </w:num>
  <w:num w:numId="19">
    <w:abstractNumId w:val="40"/>
  </w:num>
  <w:num w:numId="20">
    <w:abstractNumId w:val="21"/>
  </w:num>
  <w:num w:numId="21">
    <w:abstractNumId w:val="31"/>
  </w:num>
  <w:num w:numId="22">
    <w:abstractNumId w:val="6"/>
  </w:num>
  <w:num w:numId="23">
    <w:abstractNumId w:val="19"/>
  </w:num>
  <w:num w:numId="24">
    <w:abstractNumId w:val="15"/>
  </w:num>
  <w:num w:numId="25">
    <w:abstractNumId w:val="39"/>
  </w:num>
  <w:num w:numId="26">
    <w:abstractNumId w:val="14"/>
  </w:num>
  <w:num w:numId="27">
    <w:abstractNumId w:val="38"/>
  </w:num>
  <w:num w:numId="28">
    <w:abstractNumId w:val="0"/>
  </w:num>
  <w:num w:numId="29">
    <w:abstractNumId w:val="7"/>
  </w:num>
  <w:num w:numId="30">
    <w:abstractNumId w:val="28"/>
  </w:num>
  <w:num w:numId="31">
    <w:abstractNumId w:val="44"/>
  </w:num>
  <w:num w:numId="32">
    <w:abstractNumId w:val="17"/>
  </w:num>
  <w:num w:numId="33">
    <w:abstractNumId w:val="35"/>
  </w:num>
  <w:num w:numId="34">
    <w:abstractNumId w:val="24"/>
  </w:num>
  <w:num w:numId="35">
    <w:abstractNumId w:val="1"/>
  </w:num>
  <w:num w:numId="36">
    <w:abstractNumId w:val="41"/>
  </w:num>
  <w:num w:numId="37">
    <w:abstractNumId w:val="47"/>
  </w:num>
  <w:num w:numId="38">
    <w:abstractNumId w:val="2"/>
  </w:num>
  <w:num w:numId="39">
    <w:abstractNumId w:val="22"/>
  </w:num>
  <w:num w:numId="40">
    <w:abstractNumId w:val="27"/>
  </w:num>
  <w:num w:numId="41">
    <w:abstractNumId w:val="8"/>
  </w:num>
  <w:num w:numId="42">
    <w:abstractNumId w:val="42"/>
  </w:num>
  <w:num w:numId="43">
    <w:abstractNumId w:val="16"/>
  </w:num>
  <w:num w:numId="44">
    <w:abstractNumId w:val="9"/>
  </w:num>
  <w:num w:numId="45">
    <w:abstractNumId w:val="18"/>
  </w:num>
  <w:num w:numId="46">
    <w:abstractNumId w:val="37"/>
  </w:num>
  <w:num w:numId="47">
    <w:abstractNumId w:val="48"/>
  </w:num>
  <w:num w:numId="48">
    <w:abstractNumId w:val="34"/>
  </w:num>
  <w:num w:numId="49">
    <w:abstractNumId w:val="26"/>
  </w:num>
  <w:num w:numId="50">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32"/>
    <w:rsid w:val="00007702"/>
    <w:rsid w:val="00013F48"/>
    <w:rsid w:val="00014F64"/>
    <w:rsid w:val="0001557E"/>
    <w:rsid w:val="00016626"/>
    <w:rsid w:val="0002094C"/>
    <w:rsid w:val="00020D45"/>
    <w:rsid w:val="00033909"/>
    <w:rsid w:val="000346A5"/>
    <w:rsid w:val="00034DC0"/>
    <w:rsid w:val="00044A21"/>
    <w:rsid w:val="0004669A"/>
    <w:rsid w:val="00052237"/>
    <w:rsid w:val="00052FBD"/>
    <w:rsid w:val="00057CEA"/>
    <w:rsid w:val="00060CAF"/>
    <w:rsid w:val="000638CE"/>
    <w:rsid w:val="000660D5"/>
    <w:rsid w:val="00067966"/>
    <w:rsid w:val="00074923"/>
    <w:rsid w:val="00075191"/>
    <w:rsid w:val="00077B8A"/>
    <w:rsid w:val="00082A04"/>
    <w:rsid w:val="0008366A"/>
    <w:rsid w:val="00083C76"/>
    <w:rsid w:val="000900EC"/>
    <w:rsid w:val="00095551"/>
    <w:rsid w:val="00095FD4"/>
    <w:rsid w:val="000A05BA"/>
    <w:rsid w:val="000A1986"/>
    <w:rsid w:val="000A2A46"/>
    <w:rsid w:val="000A6980"/>
    <w:rsid w:val="000B03F7"/>
    <w:rsid w:val="000B18A5"/>
    <w:rsid w:val="000B4218"/>
    <w:rsid w:val="000B693F"/>
    <w:rsid w:val="000C2513"/>
    <w:rsid w:val="000C3117"/>
    <w:rsid w:val="000C5AEE"/>
    <w:rsid w:val="000D2221"/>
    <w:rsid w:val="000D3DE0"/>
    <w:rsid w:val="000D6D18"/>
    <w:rsid w:val="000F2C8B"/>
    <w:rsid w:val="000F3CCD"/>
    <w:rsid w:val="000F5503"/>
    <w:rsid w:val="000F574C"/>
    <w:rsid w:val="000F7CCC"/>
    <w:rsid w:val="001105C3"/>
    <w:rsid w:val="00111F8B"/>
    <w:rsid w:val="00112538"/>
    <w:rsid w:val="00112A6E"/>
    <w:rsid w:val="001146BA"/>
    <w:rsid w:val="00114A8A"/>
    <w:rsid w:val="00122FC9"/>
    <w:rsid w:val="00123B91"/>
    <w:rsid w:val="00130095"/>
    <w:rsid w:val="00135D18"/>
    <w:rsid w:val="00141037"/>
    <w:rsid w:val="00143E73"/>
    <w:rsid w:val="0014429E"/>
    <w:rsid w:val="00161F02"/>
    <w:rsid w:val="00172B1A"/>
    <w:rsid w:val="00175914"/>
    <w:rsid w:val="00176FED"/>
    <w:rsid w:val="0018370F"/>
    <w:rsid w:val="00190C1C"/>
    <w:rsid w:val="001A21F2"/>
    <w:rsid w:val="001B4F7E"/>
    <w:rsid w:val="001B5752"/>
    <w:rsid w:val="001C259F"/>
    <w:rsid w:val="001C25C9"/>
    <w:rsid w:val="001D3EEF"/>
    <w:rsid w:val="001D6310"/>
    <w:rsid w:val="001E3B70"/>
    <w:rsid w:val="001E571D"/>
    <w:rsid w:val="001F0ADC"/>
    <w:rsid w:val="001F2B07"/>
    <w:rsid w:val="001F4744"/>
    <w:rsid w:val="00200182"/>
    <w:rsid w:val="002014F4"/>
    <w:rsid w:val="00201BE3"/>
    <w:rsid w:val="00203480"/>
    <w:rsid w:val="00206C86"/>
    <w:rsid w:val="00206F5C"/>
    <w:rsid w:val="002120EC"/>
    <w:rsid w:val="00225ABD"/>
    <w:rsid w:val="0023590B"/>
    <w:rsid w:val="00237D82"/>
    <w:rsid w:val="00246930"/>
    <w:rsid w:val="0025086C"/>
    <w:rsid w:val="00252410"/>
    <w:rsid w:val="00254CCC"/>
    <w:rsid w:val="0026544C"/>
    <w:rsid w:val="00286934"/>
    <w:rsid w:val="00296199"/>
    <w:rsid w:val="002A1E40"/>
    <w:rsid w:val="002A394A"/>
    <w:rsid w:val="002A6B34"/>
    <w:rsid w:val="002B317E"/>
    <w:rsid w:val="002B37F3"/>
    <w:rsid w:val="002B4B9F"/>
    <w:rsid w:val="002C0779"/>
    <w:rsid w:val="002C2C30"/>
    <w:rsid w:val="002C32D1"/>
    <w:rsid w:val="002E2652"/>
    <w:rsid w:val="002E764E"/>
    <w:rsid w:val="002E7EDB"/>
    <w:rsid w:val="002F00A8"/>
    <w:rsid w:val="002F1888"/>
    <w:rsid w:val="003007FD"/>
    <w:rsid w:val="00302A33"/>
    <w:rsid w:val="00310E46"/>
    <w:rsid w:val="00313803"/>
    <w:rsid w:val="00313EB2"/>
    <w:rsid w:val="00314D34"/>
    <w:rsid w:val="003230FB"/>
    <w:rsid w:val="00323F45"/>
    <w:rsid w:val="003304BA"/>
    <w:rsid w:val="00331232"/>
    <w:rsid w:val="003367F3"/>
    <w:rsid w:val="003411BC"/>
    <w:rsid w:val="00342EA3"/>
    <w:rsid w:val="003442A5"/>
    <w:rsid w:val="00345014"/>
    <w:rsid w:val="003452CD"/>
    <w:rsid w:val="003469E0"/>
    <w:rsid w:val="003512BF"/>
    <w:rsid w:val="0035313D"/>
    <w:rsid w:val="00354692"/>
    <w:rsid w:val="003644F9"/>
    <w:rsid w:val="003823F4"/>
    <w:rsid w:val="00382728"/>
    <w:rsid w:val="00385832"/>
    <w:rsid w:val="003A0CB9"/>
    <w:rsid w:val="003B3D4A"/>
    <w:rsid w:val="003B3EF8"/>
    <w:rsid w:val="003B6D29"/>
    <w:rsid w:val="003C21B1"/>
    <w:rsid w:val="003C2255"/>
    <w:rsid w:val="003C2D7B"/>
    <w:rsid w:val="003D1BC1"/>
    <w:rsid w:val="003D591F"/>
    <w:rsid w:val="003D7A52"/>
    <w:rsid w:val="003E0477"/>
    <w:rsid w:val="003F05D2"/>
    <w:rsid w:val="003F07E4"/>
    <w:rsid w:val="003F5EF7"/>
    <w:rsid w:val="003F7ADD"/>
    <w:rsid w:val="004058AB"/>
    <w:rsid w:val="00405E06"/>
    <w:rsid w:val="00414259"/>
    <w:rsid w:val="00414B65"/>
    <w:rsid w:val="00416F81"/>
    <w:rsid w:val="004203E2"/>
    <w:rsid w:val="00424F9C"/>
    <w:rsid w:val="00432312"/>
    <w:rsid w:val="00434329"/>
    <w:rsid w:val="00435A33"/>
    <w:rsid w:val="00445678"/>
    <w:rsid w:val="004553A8"/>
    <w:rsid w:val="004576B3"/>
    <w:rsid w:val="00465A05"/>
    <w:rsid w:val="00476BE6"/>
    <w:rsid w:val="00481829"/>
    <w:rsid w:val="004851F4"/>
    <w:rsid w:val="004928D0"/>
    <w:rsid w:val="0049428E"/>
    <w:rsid w:val="0049757A"/>
    <w:rsid w:val="004A197A"/>
    <w:rsid w:val="004A778B"/>
    <w:rsid w:val="004B1A36"/>
    <w:rsid w:val="004B40FA"/>
    <w:rsid w:val="004B7602"/>
    <w:rsid w:val="004C2832"/>
    <w:rsid w:val="004C76A2"/>
    <w:rsid w:val="004D1B31"/>
    <w:rsid w:val="004E1977"/>
    <w:rsid w:val="004E2513"/>
    <w:rsid w:val="004E794F"/>
    <w:rsid w:val="004F5A64"/>
    <w:rsid w:val="004F5B7E"/>
    <w:rsid w:val="004F7243"/>
    <w:rsid w:val="0051273F"/>
    <w:rsid w:val="00513BB2"/>
    <w:rsid w:val="00516053"/>
    <w:rsid w:val="00516D13"/>
    <w:rsid w:val="00520658"/>
    <w:rsid w:val="0052519C"/>
    <w:rsid w:val="00527A77"/>
    <w:rsid w:val="005405ED"/>
    <w:rsid w:val="00544013"/>
    <w:rsid w:val="005475D3"/>
    <w:rsid w:val="005501C4"/>
    <w:rsid w:val="005534A1"/>
    <w:rsid w:val="00553930"/>
    <w:rsid w:val="005559F4"/>
    <w:rsid w:val="0055762C"/>
    <w:rsid w:val="00562B22"/>
    <w:rsid w:val="00580A43"/>
    <w:rsid w:val="00594A76"/>
    <w:rsid w:val="005A4E38"/>
    <w:rsid w:val="005A65BC"/>
    <w:rsid w:val="005A768D"/>
    <w:rsid w:val="005A79A4"/>
    <w:rsid w:val="005B110F"/>
    <w:rsid w:val="005C02E5"/>
    <w:rsid w:val="005C34DC"/>
    <w:rsid w:val="005D44E6"/>
    <w:rsid w:val="005D4763"/>
    <w:rsid w:val="005D5BBC"/>
    <w:rsid w:val="005E0D9A"/>
    <w:rsid w:val="005E4874"/>
    <w:rsid w:val="005F06FA"/>
    <w:rsid w:val="005F2B0C"/>
    <w:rsid w:val="005F2DAD"/>
    <w:rsid w:val="006031AF"/>
    <w:rsid w:val="006035C3"/>
    <w:rsid w:val="00603786"/>
    <w:rsid w:val="00604039"/>
    <w:rsid w:val="00606325"/>
    <w:rsid w:val="006067B5"/>
    <w:rsid w:val="006228E6"/>
    <w:rsid w:val="006244C2"/>
    <w:rsid w:val="00634C23"/>
    <w:rsid w:val="00637780"/>
    <w:rsid w:val="00643FC3"/>
    <w:rsid w:val="006505B8"/>
    <w:rsid w:val="00651776"/>
    <w:rsid w:val="00654CEE"/>
    <w:rsid w:val="0065614C"/>
    <w:rsid w:val="00657151"/>
    <w:rsid w:val="00660458"/>
    <w:rsid w:val="00660C9F"/>
    <w:rsid w:val="00665A6C"/>
    <w:rsid w:val="00671771"/>
    <w:rsid w:val="00671936"/>
    <w:rsid w:val="00674D17"/>
    <w:rsid w:val="0067623A"/>
    <w:rsid w:val="00677C36"/>
    <w:rsid w:val="00681C33"/>
    <w:rsid w:val="0068591B"/>
    <w:rsid w:val="006A426F"/>
    <w:rsid w:val="006A5675"/>
    <w:rsid w:val="006B061C"/>
    <w:rsid w:val="006B4A01"/>
    <w:rsid w:val="006B4B66"/>
    <w:rsid w:val="006B5DAF"/>
    <w:rsid w:val="006B7D11"/>
    <w:rsid w:val="006C0127"/>
    <w:rsid w:val="006C451F"/>
    <w:rsid w:val="006D58B9"/>
    <w:rsid w:val="006D5C20"/>
    <w:rsid w:val="006D79A6"/>
    <w:rsid w:val="006E1BFC"/>
    <w:rsid w:val="006E281B"/>
    <w:rsid w:val="006E29B5"/>
    <w:rsid w:val="006F239B"/>
    <w:rsid w:val="006F7586"/>
    <w:rsid w:val="007037B2"/>
    <w:rsid w:val="0070458E"/>
    <w:rsid w:val="00717917"/>
    <w:rsid w:val="00727567"/>
    <w:rsid w:val="00734365"/>
    <w:rsid w:val="007356B6"/>
    <w:rsid w:val="007356EA"/>
    <w:rsid w:val="007369ED"/>
    <w:rsid w:val="00742AC7"/>
    <w:rsid w:val="00743240"/>
    <w:rsid w:val="0074395E"/>
    <w:rsid w:val="00744002"/>
    <w:rsid w:val="00746277"/>
    <w:rsid w:val="00750A91"/>
    <w:rsid w:val="00754CBE"/>
    <w:rsid w:val="00754FBD"/>
    <w:rsid w:val="00766FF4"/>
    <w:rsid w:val="007856B6"/>
    <w:rsid w:val="00787687"/>
    <w:rsid w:val="007941EB"/>
    <w:rsid w:val="00794503"/>
    <w:rsid w:val="00796387"/>
    <w:rsid w:val="007A3CA5"/>
    <w:rsid w:val="007A58BA"/>
    <w:rsid w:val="007A60CC"/>
    <w:rsid w:val="007A7647"/>
    <w:rsid w:val="007B0871"/>
    <w:rsid w:val="007C195F"/>
    <w:rsid w:val="007E0477"/>
    <w:rsid w:val="007E4B01"/>
    <w:rsid w:val="007E6F69"/>
    <w:rsid w:val="007F199C"/>
    <w:rsid w:val="007F3659"/>
    <w:rsid w:val="007F7DB6"/>
    <w:rsid w:val="00801295"/>
    <w:rsid w:val="00801523"/>
    <w:rsid w:val="0081062A"/>
    <w:rsid w:val="0081132C"/>
    <w:rsid w:val="00811965"/>
    <w:rsid w:val="008121EE"/>
    <w:rsid w:val="00822515"/>
    <w:rsid w:val="00826BF6"/>
    <w:rsid w:val="008314E9"/>
    <w:rsid w:val="00833721"/>
    <w:rsid w:val="008360A9"/>
    <w:rsid w:val="00842272"/>
    <w:rsid w:val="008437C8"/>
    <w:rsid w:val="00843CD1"/>
    <w:rsid w:val="0084690B"/>
    <w:rsid w:val="00857BBF"/>
    <w:rsid w:val="00865077"/>
    <w:rsid w:val="00866560"/>
    <w:rsid w:val="00866AC8"/>
    <w:rsid w:val="00867775"/>
    <w:rsid w:val="00870D4D"/>
    <w:rsid w:val="008753F7"/>
    <w:rsid w:val="00880C00"/>
    <w:rsid w:val="00882F67"/>
    <w:rsid w:val="0088745D"/>
    <w:rsid w:val="008875EF"/>
    <w:rsid w:val="00897612"/>
    <w:rsid w:val="008B2498"/>
    <w:rsid w:val="008B264C"/>
    <w:rsid w:val="008B352A"/>
    <w:rsid w:val="008B402A"/>
    <w:rsid w:val="008B5033"/>
    <w:rsid w:val="008C5146"/>
    <w:rsid w:val="008C52D9"/>
    <w:rsid w:val="008D6509"/>
    <w:rsid w:val="008D6513"/>
    <w:rsid w:val="008F2F53"/>
    <w:rsid w:val="00912583"/>
    <w:rsid w:val="00912B10"/>
    <w:rsid w:val="009274C0"/>
    <w:rsid w:val="00930A1E"/>
    <w:rsid w:val="00934B5E"/>
    <w:rsid w:val="00935A75"/>
    <w:rsid w:val="009375A1"/>
    <w:rsid w:val="00946314"/>
    <w:rsid w:val="00947155"/>
    <w:rsid w:val="00951B2D"/>
    <w:rsid w:val="00952F9F"/>
    <w:rsid w:val="00954DCC"/>
    <w:rsid w:val="0095774A"/>
    <w:rsid w:val="00960187"/>
    <w:rsid w:val="00961231"/>
    <w:rsid w:val="009657D8"/>
    <w:rsid w:val="009704ED"/>
    <w:rsid w:val="00972E74"/>
    <w:rsid w:val="00992425"/>
    <w:rsid w:val="00992C95"/>
    <w:rsid w:val="00993519"/>
    <w:rsid w:val="009940B6"/>
    <w:rsid w:val="009966C1"/>
    <w:rsid w:val="009A115C"/>
    <w:rsid w:val="009A2EA5"/>
    <w:rsid w:val="009A3E1E"/>
    <w:rsid w:val="009A69D8"/>
    <w:rsid w:val="009A6DD1"/>
    <w:rsid w:val="009B0199"/>
    <w:rsid w:val="009B1517"/>
    <w:rsid w:val="009B53A1"/>
    <w:rsid w:val="009D10FF"/>
    <w:rsid w:val="009D19B8"/>
    <w:rsid w:val="009D72EA"/>
    <w:rsid w:val="009D7E0B"/>
    <w:rsid w:val="009E1478"/>
    <w:rsid w:val="009E2E1A"/>
    <w:rsid w:val="009E3838"/>
    <w:rsid w:val="009E7D39"/>
    <w:rsid w:val="009F6510"/>
    <w:rsid w:val="009F6DEC"/>
    <w:rsid w:val="009F7D1F"/>
    <w:rsid w:val="00A01042"/>
    <w:rsid w:val="00A01F0B"/>
    <w:rsid w:val="00A04FCA"/>
    <w:rsid w:val="00A0719E"/>
    <w:rsid w:val="00A10403"/>
    <w:rsid w:val="00A110AE"/>
    <w:rsid w:val="00A1492F"/>
    <w:rsid w:val="00A1737A"/>
    <w:rsid w:val="00A222CD"/>
    <w:rsid w:val="00A24586"/>
    <w:rsid w:val="00A262B4"/>
    <w:rsid w:val="00A32E2C"/>
    <w:rsid w:val="00A340ED"/>
    <w:rsid w:val="00A412DA"/>
    <w:rsid w:val="00A4371D"/>
    <w:rsid w:val="00A515A1"/>
    <w:rsid w:val="00A53792"/>
    <w:rsid w:val="00A53D4C"/>
    <w:rsid w:val="00A57EED"/>
    <w:rsid w:val="00A70038"/>
    <w:rsid w:val="00A7082C"/>
    <w:rsid w:val="00A725C2"/>
    <w:rsid w:val="00A773D7"/>
    <w:rsid w:val="00A8193A"/>
    <w:rsid w:val="00A92081"/>
    <w:rsid w:val="00AA6DAA"/>
    <w:rsid w:val="00AB2854"/>
    <w:rsid w:val="00AB57EA"/>
    <w:rsid w:val="00AB7285"/>
    <w:rsid w:val="00AC0EBC"/>
    <w:rsid w:val="00AC3F89"/>
    <w:rsid w:val="00AC5A7E"/>
    <w:rsid w:val="00AE1E2E"/>
    <w:rsid w:val="00AE2FAB"/>
    <w:rsid w:val="00AE37BE"/>
    <w:rsid w:val="00AE45AB"/>
    <w:rsid w:val="00AE70C9"/>
    <w:rsid w:val="00AF40EA"/>
    <w:rsid w:val="00B21625"/>
    <w:rsid w:val="00B2183E"/>
    <w:rsid w:val="00B23557"/>
    <w:rsid w:val="00B24D34"/>
    <w:rsid w:val="00B26496"/>
    <w:rsid w:val="00B273AC"/>
    <w:rsid w:val="00B31786"/>
    <w:rsid w:val="00B402D0"/>
    <w:rsid w:val="00B40C78"/>
    <w:rsid w:val="00B46659"/>
    <w:rsid w:val="00B518BA"/>
    <w:rsid w:val="00B609F5"/>
    <w:rsid w:val="00B625C6"/>
    <w:rsid w:val="00B636D4"/>
    <w:rsid w:val="00B64637"/>
    <w:rsid w:val="00B64ADB"/>
    <w:rsid w:val="00B64F1B"/>
    <w:rsid w:val="00B7054D"/>
    <w:rsid w:val="00B73C82"/>
    <w:rsid w:val="00B95E54"/>
    <w:rsid w:val="00BA1119"/>
    <w:rsid w:val="00BA1CD3"/>
    <w:rsid w:val="00BC2302"/>
    <w:rsid w:val="00BC763F"/>
    <w:rsid w:val="00BC7A96"/>
    <w:rsid w:val="00BD06B7"/>
    <w:rsid w:val="00BD18FC"/>
    <w:rsid w:val="00BD521F"/>
    <w:rsid w:val="00BE22E1"/>
    <w:rsid w:val="00BE2ABF"/>
    <w:rsid w:val="00BE2F8E"/>
    <w:rsid w:val="00BE77F4"/>
    <w:rsid w:val="00BF3588"/>
    <w:rsid w:val="00BF426B"/>
    <w:rsid w:val="00C0225D"/>
    <w:rsid w:val="00C0402B"/>
    <w:rsid w:val="00C056AA"/>
    <w:rsid w:val="00C220CE"/>
    <w:rsid w:val="00C264EA"/>
    <w:rsid w:val="00C27258"/>
    <w:rsid w:val="00C31C1E"/>
    <w:rsid w:val="00C33D9B"/>
    <w:rsid w:val="00C40AC8"/>
    <w:rsid w:val="00C43904"/>
    <w:rsid w:val="00C44CF0"/>
    <w:rsid w:val="00C46009"/>
    <w:rsid w:val="00C555BE"/>
    <w:rsid w:val="00C57390"/>
    <w:rsid w:val="00C66732"/>
    <w:rsid w:val="00C67DFD"/>
    <w:rsid w:val="00C76374"/>
    <w:rsid w:val="00C76FD5"/>
    <w:rsid w:val="00C7724A"/>
    <w:rsid w:val="00C80862"/>
    <w:rsid w:val="00C80C13"/>
    <w:rsid w:val="00C8392A"/>
    <w:rsid w:val="00C85AFF"/>
    <w:rsid w:val="00C86093"/>
    <w:rsid w:val="00CC2030"/>
    <w:rsid w:val="00CC7044"/>
    <w:rsid w:val="00CC7A79"/>
    <w:rsid w:val="00CD2A61"/>
    <w:rsid w:val="00CD7ED2"/>
    <w:rsid w:val="00CF2B92"/>
    <w:rsid w:val="00D058CD"/>
    <w:rsid w:val="00D25984"/>
    <w:rsid w:val="00D33DC5"/>
    <w:rsid w:val="00D353FB"/>
    <w:rsid w:val="00D52146"/>
    <w:rsid w:val="00D55BF9"/>
    <w:rsid w:val="00D60027"/>
    <w:rsid w:val="00D6380D"/>
    <w:rsid w:val="00D713F2"/>
    <w:rsid w:val="00D72FA8"/>
    <w:rsid w:val="00D90B5B"/>
    <w:rsid w:val="00D9277B"/>
    <w:rsid w:val="00DA19CC"/>
    <w:rsid w:val="00DA321B"/>
    <w:rsid w:val="00DB28C7"/>
    <w:rsid w:val="00DB533C"/>
    <w:rsid w:val="00DB5F4F"/>
    <w:rsid w:val="00DC3919"/>
    <w:rsid w:val="00DE0C3E"/>
    <w:rsid w:val="00DE4026"/>
    <w:rsid w:val="00DE7D83"/>
    <w:rsid w:val="00E23BDD"/>
    <w:rsid w:val="00E252CE"/>
    <w:rsid w:val="00E30823"/>
    <w:rsid w:val="00E32D6E"/>
    <w:rsid w:val="00E3526C"/>
    <w:rsid w:val="00E40F91"/>
    <w:rsid w:val="00E43929"/>
    <w:rsid w:val="00E62263"/>
    <w:rsid w:val="00E71C92"/>
    <w:rsid w:val="00E72380"/>
    <w:rsid w:val="00E80999"/>
    <w:rsid w:val="00E85D24"/>
    <w:rsid w:val="00E91953"/>
    <w:rsid w:val="00E96BC5"/>
    <w:rsid w:val="00EA52FB"/>
    <w:rsid w:val="00EA7FD3"/>
    <w:rsid w:val="00EB3851"/>
    <w:rsid w:val="00EB4F11"/>
    <w:rsid w:val="00EC289A"/>
    <w:rsid w:val="00EC2F98"/>
    <w:rsid w:val="00ED1180"/>
    <w:rsid w:val="00ED16FA"/>
    <w:rsid w:val="00ED289C"/>
    <w:rsid w:val="00EE29DC"/>
    <w:rsid w:val="00EE3830"/>
    <w:rsid w:val="00EE4DCE"/>
    <w:rsid w:val="00EF7EE8"/>
    <w:rsid w:val="00F05CB3"/>
    <w:rsid w:val="00F067DD"/>
    <w:rsid w:val="00F11CB4"/>
    <w:rsid w:val="00F15A0B"/>
    <w:rsid w:val="00F163C2"/>
    <w:rsid w:val="00F16EC8"/>
    <w:rsid w:val="00F36CD6"/>
    <w:rsid w:val="00F46912"/>
    <w:rsid w:val="00F476CD"/>
    <w:rsid w:val="00F47F1F"/>
    <w:rsid w:val="00F60D43"/>
    <w:rsid w:val="00F629C8"/>
    <w:rsid w:val="00F63A90"/>
    <w:rsid w:val="00F66918"/>
    <w:rsid w:val="00F713A1"/>
    <w:rsid w:val="00F74F3D"/>
    <w:rsid w:val="00F8039B"/>
    <w:rsid w:val="00F815AA"/>
    <w:rsid w:val="00F83344"/>
    <w:rsid w:val="00F877DE"/>
    <w:rsid w:val="00F87CA9"/>
    <w:rsid w:val="00F92D9B"/>
    <w:rsid w:val="00F96620"/>
    <w:rsid w:val="00F97A4B"/>
    <w:rsid w:val="00FA66A5"/>
    <w:rsid w:val="00FB1C21"/>
    <w:rsid w:val="00FC40CE"/>
    <w:rsid w:val="00FD0910"/>
    <w:rsid w:val="00FD658B"/>
    <w:rsid w:val="00FD7DA0"/>
    <w:rsid w:val="00FE242C"/>
    <w:rsid w:val="00FE2D08"/>
    <w:rsid w:val="00FE49B8"/>
    <w:rsid w:val="00FE5E8E"/>
    <w:rsid w:val="00FE6EC7"/>
    <w:rsid w:val="00FE7085"/>
    <w:rsid w:val="00FF0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14:docId w14:val="454FD0AF"/>
  <w15:chartTrackingRefBased/>
  <w15:docId w15:val="{D505DA3E-2B2B-4F70-9CA7-46E1CF4F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2A"/>
    <w:pPr>
      <w:spacing w:after="200" w:line="276" w:lineRule="auto"/>
    </w:pPr>
    <w:rPr>
      <w:sz w:val="22"/>
      <w:szCs w:val="22"/>
      <w:lang w:val="ca-ES" w:eastAsia="en-US"/>
    </w:rPr>
  </w:style>
  <w:style w:type="paragraph" w:styleId="Ttulo1">
    <w:name w:val="heading 1"/>
    <w:basedOn w:val="Ttulo"/>
    <w:next w:val="Normal"/>
    <w:link w:val="Ttulo1Car"/>
    <w:uiPriority w:val="9"/>
    <w:qFormat/>
    <w:rsid w:val="00057CEA"/>
    <w:pPr>
      <w:numPr>
        <w:numId w:val="1"/>
      </w:numPr>
      <w:spacing w:after="240"/>
      <w:outlineLvl w:val="0"/>
    </w:pPr>
  </w:style>
  <w:style w:type="paragraph" w:styleId="Ttulo2">
    <w:name w:val="heading 2"/>
    <w:basedOn w:val="Normal"/>
    <w:next w:val="Normal"/>
    <w:link w:val="Ttulo2Car"/>
    <w:uiPriority w:val="9"/>
    <w:unhideWhenUsed/>
    <w:qFormat/>
    <w:rsid w:val="000A2A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A2A46"/>
    <w:pPr>
      <w:keepNext/>
      <w:keepLines/>
      <w:spacing w:before="240" w:after="120" w:line="288" w:lineRule="auto"/>
      <w:ind w:left="680" w:hanging="680"/>
      <w:outlineLvl w:val="2"/>
    </w:pPr>
    <w:rPr>
      <w:rFonts w:asciiTheme="majorHAnsi" w:eastAsiaTheme="majorEastAsia" w:hAnsiTheme="majorHAnsi" w:cstheme="majorBidi"/>
      <w:color w:val="0097A5"/>
      <w:sz w:val="24"/>
      <w:szCs w:val="24"/>
    </w:rPr>
  </w:style>
  <w:style w:type="paragraph" w:styleId="Ttulo4">
    <w:name w:val="heading 4"/>
    <w:basedOn w:val="Normal"/>
    <w:next w:val="Normal"/>
    <w:link w:val="Ttulo4Car"/>
    <w:uiPriority w:val="9"/>
    <w:unhideWhenUsed/>
    <w:qFormat/>
    <w:rsid w:val="000A2A46"/>
    <w:pPr>
      <w:keepNext/>
      <w:keepLines/>
      <w:spacing w:before="40" w:after="0" w:line="288" w:lineRule="auto"/>
      <w:ind w:left="864" w:hanging="864"/>
      <w:outlineLvl w:val="3"/>
    </w:pPr>
    <w:rPr>
      <w:rFonts w:asciiTheme="majorHAnsi" w:eastAsiaTheme="majorEastAsia" w:hAnsiTheme="majorHAnsi" w:cstheme="majorBidi"/>
      <w:iCs/>
      <w:color w:val="2E74B5" w:themeColor="accent1" w:themeShade="BF"/>
    </w:rPr>
  </w:style>
  <w:style w:type="paragraph" w:styleId="Ttulo5">
    <w:name w:val="heading 5"/>
    <w:basedOn w:val="Normal"/>
    <w:next w:val="Normal"/>
    <w:link w:val="Ttulo5Car"/>
    <w:uiPriority w:val="9"/>
    <w:semiHidden/>
    <w:unhideWhenUsed/>
    <w:qFormat/>
    <w:rsid w:val="000A2A46"/>
    <w:pPr>
      <w:keepNext/>
      <w:keepLines/>
      <w:spacing w:before="40" w:after="0" w:line="288" w:lineRule="auto"/>
      <w:ind w:left="1008" w:hanging="1008"/>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A2A46"/>
    <w:pPr>
      <w:keepNext/>
      <w:keepLines/>
      <w:spacing w:before="40" w:after="0" w:line="288" w:lineRule="auto"/>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A2A46"/>
    <w:pPr>
      <w:keepNext/>
      <w:keepLines/>
      <w:spacing w:before="40" w:after="0" w:line="288" w:lineRule="auto"/>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A2A46"/>
    <w:pPr>
      <w:keepNext/>
      <w:keepLines/>
      <w:spacing w:before="40" w:after="0" w:line="288"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2A46"/>
    <w:pPr>
      <w:keepNext/>
      <w:keepLines/>
      <w:spacing w:before="40" w:after="0" w:line="288"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57CEA"/>
    <w:rPr>
      <w:rFonts w:cs="Arial"/>
      <w:b/>
      <w:color w:val="000000"/>
      <w:sz w:val="22"/>
      <w:szCs w:val="22"/>
      <w:lang w:val="ca-ES" w:eastAsia="en-US"/>
    </w:rPr>
  </w:style>
  <w:style w:type="paragraph" w:customStyle="1" w:styleId="Default">
    <w:name w:val="Default"/>
    <w:qFormat/>
    <w:rsid w:val="00385832"/>
    <w:pPr>
      <w:autoSpaceDE w:val="0"/>
      <w:autoSpaceDN w:val="0"/>
      <w:adjustRightInd w:val="0"/>
    </w:pPr>
    <w:rPr>
      <w:rFonts w:ascii="Arial" w:hAnsi="Arial" w:cs="Arial"/>
      <w:color w:val="000000"/>
      <w:sz w:val="24"/>
      <w:szCs w:val="24"/>
      <w:lang w:val="ca-ES" w:eastAsia="en-US"/>
    </w:rPr>
  </w:style>
  <w:style w:type="paragraph" w:styleId="Prrafodelista">
    <w:name w:val="List Paragraph"/>
    <w:basedOn w:val="Normal"/>
    <w:link w:val="PrrafodelistaCar"/>
    <w:uiPriority w:val="34"/>
    <w:qFormat/>
    <w:rsid w:val="00AE1E2E"/>
    <w:pPr>
      <w:ind w:left="720"/>
      <w:contextualSpacing/>
    </w:pPr>
  </w:style>
  <w:style w:type="paragraph" w:styleId="Encabezado">
    <w:name w:val="header"/>
    <w:basedOn w:val="Normal"/>
    <w:link w:val="EncabezadoCar"/>
    <w:uiPriority w:val="99"/>
    <w:unhideWhenUsed/>
    <w:rsid w:val="00754CBE"/>
    <w:pPr>
      <w:tabs>
        <w:tab w:val="center" w:pos="4252"/>
        <w:tab w:val="right" w:pos="8504"/>
      </w:tabs>
      <w:spacing w:after="0" w:line="240" w:lineRule="auto"/>
    </w:pPr>
  </w:style>
  <w:style w:type="character" w:customStyle="1" w:styleId="EncabezadoCar">
    <w:name w:val="Encabezado Car"/>
    <w:link w:val="Encabezado"/>
    <w:uiPriority w:val="99"/>
    <w:qFormat/>
    <w:locked/>
    <w:rsid w:val="00754CBE"/>
    <w:rPr>
      <w:rFonts w:cs="Times New Roman"/>
    </w:rPr>
  </w:style>
  <w:style w:type="paragraph" w:styleId="Piedepgina">
    <w:name w:val="footer"/>
    <w:basedOn w:val="Normal"/>
    <w:link w:val="PiedepginaCar"/>
    <w:uiPriority w:val="99"/>
    <w:unhideWhenUsed/>
    <w:rsid w:val="00754CBE"/>
    <w:pPr>
      <w:tabs>
        <w:tab w:val="center" w:pos="4252"/>
        <w:tab w:val="right" w:pos="8504"/>
      </w:tabs>
      <w:spacing w:after="0" w:line="240" w:lineRule="auto"/>
    </w:pPr>
  </w:style>
  <w:style w:type="character" w:customStyle="1" w:styleId="PiedepginaCar">
    <w:name w:val="Pie de página Car"/>
    <w:link w:val="Piedepgina"/>
    <w:uiPriority w:val="99"/>
    <w:locked/>
    <w:rsid w:val="00754CBE"/>
    <w:rPr>
      <w:rFonts w:cs="Times New Roman"/>
    </w:rPr>
  </w:style>
  <w:style w:type="character" w:styleId="Ttulodellibro">
    <w:name w:val="Book Title"/>
    <w:uiPriority w:val="33"/>
    <w:qFormat/>
    <w:rsid w:val="00754CBE"/>
    <w:rPr>
      <w:rFonts w:cs="Times New Roman"/>
      <w:b/>
      <w:bCs/>
      <w:smallCaps/>
      <w:spacing w:val="5"/>
    </w:rPr>
  </w:style>
  <w:style w:type="paragraph" w:styleId="Textoindependiente3">
    <w:name w:val="Body Text 3"/>
    <w:basedOn w:val="Normal"/>
    <w:link w:val="Textoindependiente3Car"/>
    <w:uiPriority w:val="99"/>
    <w:rsid w:val="000F3CCD"/>
    <w:pPr>
      <w:widowControl w:val="0"/>
      <w:spacing w:after="120" w:line="240" w:lineRule="auto"/>
    </w:pPr>
    <w:rPr>
      <w:rFonts w:ascii="Times New Roman" w:hAnsi="Times New Roman"/>
      <w:sz w:val="16"/>
      <w:szCs w:val="16"/>
      <w:lang w:eastAsia="es-ES"/>
    </w:rPr>
  </w:style>
  <w:style w:type="character" w:customStyle="1" w:styleId="Textoindependiente3Car">
    <w:name w:val="Texto independiente 3 Car"/>
    <w:link w:val="Textoindependiente3"/>
    <w:uiPriority w:val="99"/>
    <w:locked/>
    <w:rsid w:val="000F3CCD"/>
    <w:rPr>
      <w:rFonts w:ascii="Times New Roman" w:hAnsi="Times New Roman" w:cs="Times New Roman"/>
      <w:sz w:val="16"/>
      <w:szCs w:val="16"/>
      <w:lang w:val="x-none" w:eastAsia="es-ES"/>
    </w:rPr>
  </w:style>
  <w:style w:type="character" w:styleId="Hipervnculo">
    <w:name w:val="Hyperlink"/>
    <w:uiPriority w:val="99"/>
    <w:rsid w:val="000F3CCD"/>
    <w:rPr>
      <w:color w:val="0000FF"/>
      <w:u w:val="single"/>
    </w:rPr>
  </w:style>
  <w:style w:type="paragraph" w:styleId="Textodeglobo">
    <w:name w:val="Balloon Text"/>
    <w:basedOn w:val="Normal"/>
    <w:link w:val="TextodegloboCar"/>
    <w:uiPriority w:val="99"/>
    <w:semiHidden/>
    <w:unhideWhenUsed/>
    <w:rsid w:val="006E281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6E281B"/>
    <w:rPr>
      <w:rFonts w:ascii="Tahoma" w:hAnsi="Tahoma" w:cs="Tahoma"/>
      <w:sz w:val="16"/>
      <w:szCs w:val="16"/>
    </w:rPr>
  </w:style>
  <w:style w:type="character" w:styleId="Refdecomentario">
    <w:name w:val="annotation reference"/>
    <w:uiPriority w:val="99"/>
    <w:unhideWhenUsed/>
    <w:rsid w:val="00EE4DCE"/>
    <w:rPr>
      <w:rFonts w:cs="Times New Roman"/>
      <w:sz w:val="16"/>
      <w:szCs w:val="16"/>
    </w:rPr>
  </w:style>
  <w:style w:type="paragraph" w:styleId="Textocomentario">
    <w:name w:val="annotation text"/>
    <w:basedOn w:val="Normal"/>
    <w:link w:val="TextocomentarioCar"/>
    <w:uiPriority w:val="99"/>
    <w:unhideWhenUsed/>
    <w:rsid w:val="00EE4DCE"/>
    <w:pPr>
      <w:spacing w:line="240" w:lineRule="auto"/>
    </w:pPr>
    <w:rPr>
      <w:sz w:val="20"/>
      <w:szCs w:val="20"/>
    </w:rPr>
  </w:style>
  <w:style w:type="character" w:customStyle="1" w:styleId="TextocomentarioCar">
    <w:name w:val="Texto comentario Car"/>
    <w:link w:val="Textocomentario"/>
    <w:uiPriority w:val="99"/>
    <w:locked/>
    <w:rsid w:val="00EE4DCE"/>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E4DCE"/>
    <w:rPr>
      <w:b/>
      <w:bCs/>
    </w:rPr>
  </w:style>
  <w:style w:type="character" w:customStyle="1" w:styleId="AsuntodelcomentarioCar">
    <w:name w:val="Asunto del comentario Car"/>
    <w:link w:val="Asuntodelcomentario"/>
    <w:uiPriority w:val="99"/>
    <w:semiHidden/>
    <w:locked/>
    <w:rsid w:val="00EE4DCE"/>
    <w:rPr>
      <w:rFonts w:cs="Times New Roman"/>
      <w:b/>
      <w:bCs/>
      <w:sz w:val="20"/>
      <w:szCs w:val="20"/>
    </w:rPr>
  </w:style>
  <w:style w:type="paragraph" w:styleId="Ttulo">
    <w:name w:val="Title"/>
    <w:basedOn w:val="Default"/>
    <w:next w:val="Normal"/>
    <w:link w:val="TtuloCar"/>
    <w:uiPriority w:val="10"/>
    <w:qFormat/>
    <w:rsid w:val="00EF7EE8"/>
    <w:pPr>
      <w:ind w:left="284" w:hanging="284"/>
      <w:jc w:val="both"/>
    </w:pPr>
    <w:rPr>
      <w:rFonts w:ascii="Calibri" w:hAnsi="Calibri"/>
      <w:b/>
      <w:sz w:val="22"/>
      <w:szCs w:val="22"/>
    </w:rPr>
  </w:style>
  <w:style w:type="character" w:customStyle="1" w:styleId="TtuloCar">
    <w:name w:val="Título Car"/>
    <w:link w:val="Ttulo"/>
    <w:uiPriority w:val="10"/>
    <w:locked/>
    <w:rsid w:val="00EF7EE8"/>
    <w:rPr>
      <w:rFonts w:cs="Arial"/>
      <w:b/>
      <w:color w:val="000000"/>
    </w:rPr>
  </w:style>
  <w:style w:type="paragraph" w:customStyle="1" w:styleId="TtulodeTDC">
    <w:name w:val="Título de TDC"/>
    <w:basedOn w:val="Ttulo1"/>
    <w:next w:val="Normal"/>
    <w:uiPriority w:val="39"/>
    <w:unhideWhenUsed/>
    <w:qFormat/>
    <w:rsid w:val="00FB1C21"/>
    <w:pPr>
      <w:outlineLvl w:val="9"/>
    </w:pPr>
    <w:rPr>
      <w:lang w:val="es-ES"/>
    </w:rPr>
  </w:style>
  <w:style w:type="paragraph" w:styleId="TDC1">
    <w:name w:val="toc 1"/>
    <w:basedOn w:val="Normal"/>
    <w:next w:val="Normal"/>
    <w:autoRedefine/>
    <w:uiPriority w:val="39"/>
    <w:unhideWhenUsed/>
    <w:rsid w:val="003823F4"/>
    <w:pPr>
      <w:tabs>
        <w:tab w:val="left" w:pos="426"/>
        <w:tab w:val="right" w:leader="dot" w:pos="8494"/>
      </w:tabs>
      <w:spacing w:after="100"/>
    </w:pPr>
  </w:style>
  <w:style w:type="character" w:customStyle="1" w:styleId="EnlladInternet">
    <w:name w:val="Enllaç d'Internet"/>
    <w:uiPriority w:val="99"/>
    <w:unhideWhenUsed/>
    <w:rsid w:val="00130095"/>
    <w:rPr>
      <w:rFonts w:ascii="Times New Roman" w:hAnsi="Times New Roman" w:cs="Times New Roman"/>
      <w:color w:val="0000FF"/>
      <w:u w:val="single"/>
    </w:rPr>
  </w:style>
  <w:style w:type="paragraph" w:customStyle="1" w:styleId="Textoindependienteh">
    <w:name w:val="Texto independienteh."/>
    <w:basedOn w:val="Normal"/>
    <w:rsid w:val="00354692"/>
    <w:pPr>
      <w:widowControl w:val="0"/>
      <w:spacing w:after="0" w:line="240" w:lineRule="auto"/>
      <w:jc w:val="both"/>
    </w:pPr>
    <w:rPr>
      <w:rFonts w:ascii="Times New Roman" w:hAnsi="Times New Roman"/>
      <w:sz w:val="20"/>
      <w:szCs w:val="20"/>
      <w:lang w:eastAsia="es-ES"/>
    </w:rPr>
  </w:style>
  <w:style w:type="character" w:customStyle="1" w:styleId="EncabezadoCar1">
    <w:name w:val="Encabezado Car1"/>
    <w:uiPriority w:val="99"/>
    <w:semiHidden/>
    <w:rsid w:val="00952F9F"/>
    <w:rPr>
      <w:rFonts w:ascii="Times New Roman" w:eastAsia="Times New Roman" w:hAnsi="Times New Roman" w:cs="Times New Roman"/>
      <w:sz w:val="20"/>
      <w:szCs w:val="20"/>
      <w:lang w:bidi="ar-SA"/>
    </w:rPr>
  </w:style>
  <w:style w:type="character" w:customStyle="1" w:styleId="PrrafodelistaCar">
    <w:name w:val="Párrafo de lista Car"/>
    <w:link w:val="Prrafodelista"/>
    <w:uiPriority w:val="34"/>
    <w:locked/>
    <w:rsid w:val="00A70038"/>
    <w:rPr>
      <w:sz w:val="22"/>
      <w:szCs w:val="22"/>
      <w:lang w:val="ca-ES" w:eastAsia="en-US"/>
    </w:rPr>
  </w:style>
  <w:style w:type="character" w:customStyle="1" w:styleId="apple-converted-space">
    <w:name w:val="apple-converted-space"/>
    <w:basedOn w:val="Fuentedeprrafopredeter"/>
    <w:rsid w:val="00F629C8"/>
  </w:style>
  <w:style w:type="character" w:styleId="Textoennegrita">
    <w:name w:val="Strong"/>
    <w:basedOn w:val="Fuentedeprrafopredeter"/>
    <w:uiPriority w:val="22"/>
    <w:qFormat/>
    <w:rsid w:val="003F5EF7"/>
    <w:rPr>
      <w:b/>
      <w:bCs/>
    </w:rPr>
  </w:style>
  <w:style w:type="character" w:customStyle="1" w:styleId="Ttulo2Car">
    <w:name w:val="Título 2 Car"/>
    <w:basedOn w:val="Fuentedeprrafopredeter"/>
    <w:link w:val="Ttulo2"/>
    <w:uiPriority w:val="9"/>
    <w:rsid w:val="000A2A46"/>
    <w:rPr>
      <w:rFonts w:asciiTheme="majorHAnsi" w:eastAsiaTheme="majorEastAsia" w:hAnsiTheme="majorHAnsi" w:cstheme="majorBidi"/>
      <w:color w:val="2E74B5" w:themeColor="accent1" w:themeShade="BF"/>
      <w:sz w:val="26"/>
      <w:szCs w:val="26"/>
      <w:lang w:val="ca-ES" w:eastAsia="en-US"/>
    </w:rPr>
  </w:style>
  <w:style w:type="paragraph" w:styleId="TtuloTDC">
    <w:name w:val="TOC Heading"/>
    <w:basedOn w:val="Ttulo1"/>
    <w:next w:val="Normal"/>
    <w:uiPriority w:val="39"/>
    <w:unhideWhenUsed/>
    <w:qFormat/>
    <w:rsid w:val="000A2A46"/>
    <w:pPr>
      <w:keepNext/>
      <w:keepLines/>
      <w:numPr>
        <w:numId w:val="0"/>
      </w:numPr>
      <w:autoSpaceDE/>
      <w:autoSpaceDN/>
      <w:adjustRightInd/>
      <w:spacing w:before="240" w:after="0" w:line="276"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0A2A46"/>
    <w:pPr>
      <w:spacing w:after="100"/>
      <w:ind w:left="220"/>
    </w:pPr>
  </w:style>
  <w:style w:type="paragraph" w:styleId="TDC3">
    <w:name w:val="toc 3"/>
    <w:basedOn w:val="Normal"/>
    <w:next w:val="Normal"/>
    <w:autoRedefine/>
    <w:uiPriority w:val="39"/>
    <w:unhideWhenUsed/>
    <w:rsid w:val="000A2A46"/>
    <w:pPr>
      <w:spacing w:after="100"/>
      <w:ind w:left="440"/>
    </w:pPr>
  </w:style>
  <w:style w:type="character" w:customStyle="1" w:styleId="Ttulo3Car">
    <w:name w:val="Título 3 Car"/>
    <w:basedOn w:val="Fuentedeprrafopredeter"/>
    <w:link w:val="Ttulo3"/>
    <w:uiPriority w:val="9"/>
    <w:rsid w:val="000A2A46"/>
    <w:rPr>
      <w:rFonts w:asciiTheme="majorHAnsi" w:eastAsiaTheme="majorEastAsia" w:hAnsiTheme="majorHAnsi" w:cstheme="majorBidi"/>
      <w:color w:val="0097A5"/>
      <w:sz w:val="24"/>
      <w:szCs w:val="24"/>
      <w:lang w:val="ca-ES" w:eastAsia="en-US"/>
    </w:rPr>
  </w:style>
  <w:style w:type="character" w:customStyle="1" w:styleId="Ttulo4Car">
    <w:name w:val="Título 4 Car"/>
    <w:basedOn w:val="Fuentedeprrafopredeter"/>
    <w:link w:val="Ttulo4"/>
    <w:uiPriority w:val="9"/>
    <w:rsid w:val="000A2A46"/>
    <w:rPr>
      <w:rFonts w:asciiTheme="majorHAnsi" w:eastAsiaTheme="majorEastAsia" w:hAnsiTheme="majorHAnsi" w:cstheme="majorBidi"/>
      <w:iCs/>
      <w:color w:val="2E74B5" w:themeColor="accent1" w:themeShade="BF"/>
      <w:sz w:val="22"/>
      <w:szCs w:val="22"/>
      <w:lang w:val="ca-ES" w:eastAsia="en-US"/>
    </w:rPr>
  </w:style>
  <w:style w:type="character" w:customStyle="1" w:styleId="Ttulo5Car">
    <w:name w:val="Título 5 Car"/>
    <w:basedOn w:val="Fuentedeprrafopredeter"/>
    <w:link w:val="Ttulo5"/>
    <w:uiPriority w:val="9"/>
    <w:semiHidden/>
    <w:rsid w:val="000A2A46"/>
    <w:rPr>
      <w:rFonts w:asciiTheme="majorHAnsi" w:eastAsiaTheme="majorEastAsia" w:hAnsiTheme="majorHAnsi" w:cstheme="majorBidi"/>
      <w:color w:val="2E74B5" w:themeColor="accent1" w:themeShade="BF"/>
      <w:sz w:val="22"/>
      <w:szCs w:val="22"/>
      <w:lang w:val="ca-ES" w:eastAsia="en-US"/>
    </w:rPr>
  </w:style>
  <w:style w:type="character" w:customStyle="1" w:styleId="Ttulo6Car">
    <w:name w:val="Título 6 Car"/>
    <w:basedOn w:val="Fuentedeprrafopredeter"/>
    <w:link w:val="Ttulo6"/>
    <w:uiPriority w:val="9"/>
    <w:semiHidden/>
    <w:rsid w:val="000A2A46"/>
    <w:rPr>
      <w:rFonts w:asciiTheme="majorHAnsi" w:eastAsiaTheme="majorEastAsia" w:hAnsiTheme="majorHAnsi" w:cstheme="majorBidi"/>
      <w:color w:val="1F4D78" w:themeColor="accent1" w:themeShade="7F"/>
      <w:sz w:val="22"/>
      <w:szCs w:val="22"/>
      <w:lang w:val="ca-ES" w:eastAsia="en-US"/>
    </w:rPr>
  </w:style>
  <w:style w:type="character" w:customStyle="1" w:styleId="Ttulo7Car">
    <w:name w:val="Título 7 Car"/>
    <w:basedOn w:val="Fuentedeprrafopredeter"/>
    <w:link w:val="Ttulo7"/>
    <w:uiPriority w:val="9"/>
    <w:semiHidden/>
    <w:rsid w:val="000A2A46"/>
    <w:rPr>
      <w:rFonts w:asciiTheme="majorHAnsi" w:eastAsiaTheme="majorEastAsia" w:hAnsiTheme="majorHAnsi" w:cstheme="majorBidi"/>
      <w:i/>
      <w:iCs/>
      <w:color w:val="1F4D78" w:themeColor="accent1" w:themeShade="7F"/>
      <w:sz w:val="22"/>
      <w:szCs w:val="22"/>
      <w:lang w:val="ca-ES" w:eastAsia="en-US"/>
    </w:rPr>
  </w:style>
  <w:style w:type="character" w:customStyle="1" w:styleId="Ttulo8Car">
    <w:name w:val="Título 8 Car"/>
    <w:basedOn w:val="Fuentedeprrafopredeter"/>
    <w:link w:val="Ttulo8"/>
    <w:uiPriority w:val="9"/>
    <w:semiHidden/>
    <w:rsid w:val="000A2A46"/>
    <w:rPr>
      <w:rFonts w:asciiTheme="majorHAnsi" w:eastAsiaTheme="majorEastAsia" w:hAnsiTheme="majorHAnsi" w:cstheme="majorBidi"/>
      <w:color w:val="272727" w:themeColor="text1" w:themeTint="D8"/>
      <w:sz w:val="21"/>
      <w:szCs w:val="21"/>
      <w:lang w:val="ca-ES" w:eastAsia="en-US"/>
    </w:rPr>
  </w:style>
  <w:style w:type="character" w:customStyle="1" w:styleId="Ttulo9Car">
    <w:name w:val="Título 9 Car"/>
    <w:basedOn w:val="Fuentedeprrafopredeter"/>
    <w:link w:val="Ttulo9"/>
    <w:uiPriority w:val="9"/>
    <w:semiHidden/>
    <w:rsid w:val="000A2A46"/>
    <w:rPr>
      <w:rFonts w:asciiTheme="majorHAnsi" w:eastAsiaTheme="majorEastAsia" w:hAnsiTheme="majorHAnsi" w:cstheme="majorBidi"/>
      <w:i/>
      <w:iCs/>
      <w:color w:val="272727" w:themeColor="text1" w:themeTint="D8"/>
      <w:sz w:val="21"/>
      <w:szCs w:val="21"/>
      <w:lang w:val="ca-ES" w:eastAsia="en-US"/>
    </w:rPr>
  </w:style>
  <w:style w:type="numbering" w:customStyle="1" w:styleId="Sinlista1">
    <w:name w:val="Sin lista1"/>
    <w:next w:val="Sinlista"/>
    <w:uiPriority w:val="99"/>
    <w:semiHidden/>
    <w:unhideWhenUsed/>
    <w:rsid w:val="000A2A46"/>
  </w:style>
  <w:style w:type="character" w:styleId="Textodelmarcadordeposicin">
    <w:name w:val="Placeholder Text"/>
    <w:basedOn w:val="Fuentedeprrafopredeter"/>
    <w:uiPriority w:val="99"/>
    <w:semiHidden/>
    <w:rsid w:val="000A2A46"/>
    <w:rPr>
      <w:color w:val="808080"/>
    </w:rPr>
  </w:style>
  <w:style w:type="table" w:styleId="Tablaconcuadrcula">
    <w:name w:val="Table Grid"/>
    <w:basedOn w:val="Tablanormal"/>
    <w:uiPriority w:val="59"/>
    <w:rsid w:val="000A2A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A2A46"/>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0A2A46"/>
    <w:rPr>
      <w:rFonts w:asciiTheme="minorHAnsi" w:eastAsiaTheme="minorHAnsi" w:hAnsiTheme="minorHAnsi" w:cstheme="minorBidi"/>
      <w:lang w:val="ca-ES" w:eastAsia="en-US"/>
    </w:rPr>
  </w:style>
  <w:style w:type="character" w:styleId="Refdenotaalpie">
    <w:name w:val="footnote reference"/>
    <w:basedOn w:val="Fuentedeprrafopredeter"/>
    <w:uiPriority w:val="99"/>
    <w:semiHidden/>
    <w:unhideWhenUsed/>
    <w:rsid w:val="000A2A46"/>
    <w:rPr>
      <w:vertAlign w:val="superscript"/>
    </w:rPr>
  </w:style>
  <w:style w:type="paragraph" w:styleId="Textonotaalfinal">
    <w:name w:val="endnote text"/>
    <w:basedOn w:val="Normal"/>
    <w:link w:val="TextonotaalfinalCar"/>
    <w:uiPriority w:val="99"/>
    <w:semiHidden/>
    <w:unhideWhenUsed/>
    <w:rsid w:val="000A2A46"/>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0A2A46"/>
    <w:rPr>
      <w:rFonts w:asciiTheme="minorHAnsi" w:eastAsiaTheme="minorHAnsi" w:hAnsiTheme="minorHAnsi" w:cstheme="minorBidi"/>
      <w:lang w:val="ca-ES" w:eastAsia="en-US"/>
    </w:rPr>
  </w:style>
  <w:style w:type="character" w:styleId="Refdenotaalfinal">
    <w:name w:val="endnote reference"/>
    <w:basedOn w:val="Fuentedeprrafopredeter"/>
    <w:uiPriority w:val="99"/>
    <w:semiHidden/>
    <w:unhideWhenUsed/>
    <w:rsid w:val="000A2A46"/>
    <w:rPr>
      <w:vertAlign w:val="superscript"/>
    </w:rPr>
  </w:style>
  <w:style w:type="character" w:styleId="Hipervnculovisitado">
    <w:name w:val="FollowedHyperlink"/>
    <w:basedOn w:val="Fuentedeprrafopredeter"/>
    <w:uiPriority w:val="99"/>
    <w:semiHidden/>
    <w:unhideWhenUsed/>
    <w:rsid w:val="000A2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072">
      <w:bodyDiv w:val="1"/>
      <w:marLeft w:val="0"/>
      <w:marRight w:val="0"/>
      <w:marTop w:val="0"/>
      <w:marBottom w:val="0"/>
      <w:divBdr>
        <w:top w:val="none" w:sz="0" w:space="0" w:color="auto"/>
        <w:left w:val="none" w:sz="0" w:space="0" w:color="auto"/>
        <w:bottom w:val="none" w:sz="0" w:space="0" w:color="auto"/>
        <w:right w:val="none" w:sz="0" w:space="0" w:color="auto"/>
      </w:divBdr>
    </w:div>
    <w:div w:id="351615041">
      <w:marLeft w:val="0"/>
      <w:marRight w:val="0"/>
      <w:marTop w:val="0"/>
      <w:marBottom w:val="0"/>
      <w:divBdr>
        <w:top w:val="none" w:sz="0" w:space="0" w:color="auto"/>
        <w:left w:val="none" w:sz="0" w:space="0" w:color="auto"/>
        <w:bottom w:val="none" w:sz="0" w:space="0" w:color="auto"/>
        <w:right w:val="none" w:sz="0" w:space="0" w:color="auto"/>
      </w:divBdr>
    </w:div>
    <w:div w:id="351615042">
      <w:marLeft w:val="0"/>
      <w:marRight w:val="0"/>
      <w:marTop w:val="0"/>
      <w:marBottom w:val="0"/>
      <w:divBdr>
        <w:top w:val="none" w:sz="0" w:space="0" w:color="auto"/>
        <w:left w:val="none" w:sz="0" w:space="0" w:color="auto"/>
        <w:bottom w:val="none" w:sz="0" w:space="0" w:color="auto"/>
        <w:right w:val="none" w:sz="0" w:space="0" w:color="auto"/>
      </w:divBdr>
    </w:div>
    <w:div w:id="351615043">
      <w:marLeft w:val="0"/>
      <w:marRight w:val="0"/>
      <w:marTop w:val="0"/>
      <w:marBottom w:val="0"/>
      <w:divBdr>
        <w:top w:val="none" w:sz="0" w:space="0" w:color="auto"/>
        <w:left w:val="none" w:sz="0" w:space="0" w:color="auto"/>
        <w:bottom w:val="none" w:sz="0" w:space="0" w:color="auto"/>
        <w:right w:val="none" w:sz="0" w:space="0" w:color="auto"/>
      </w:divBdr>
    </w:div>
    <w:div w:id="351615044">
      <w:marLeft w:val="0"/>
      <w:marRight w:val="0"/>
      <w:marTop w:val="0"/>
      <w:marBottom w:val="0"/>
      <w:divBdr>
        <w:top w:val="none" w:sz="0" w:space="0" w:color="auto"/>
        <w:left w:val="none" w:sz="0" w:space="0" w:color="auto"/>
        <w:bottom w:val="none" w:sz="0" w:space="0" w:color="auto"/>
        <w:right w:val="none" w:sz="0" w:space="0" w:color="auto"/>
      </w:divBdr>
    </w:div>
    <w:div w:id="351615045">
      <w:marLeft w:val="0"/>
      <w:marRight w:val="0"/>
      <w:marTop w:val="0"/>
      <w:marBottom w:val="0"/>
      <w:divBdr>
        <w:top w:val="none" w:sz="0" w:space="0" w:color="auto"/>
        <w:left w:val="none" w:sz="0" w:space="0" w:color="auto"/>
        <w:bottom w:val="none" w:sz="0" w:space="0" w:color="auto"/>
        <w:right w:val="none" w:sz="0" w:space="0" w:color="auto"/>
      </w:divBdr>
    </w:div>
    <w:div w:id="351615046">
      <w:marLeft w:val="0"/>
      <w:marRight w:val="0"/>
      <w:marTop w:val="0"/>
      <w:marBottom w:val="0"/>
      <w:divBdr>
        <w:top w:val="none" w:sz="0" w:space="0" w:color="auto"/>
        <w:left w:val="none" w:sz="0" w:space="0" w:color="auto"/>
        <w:bottom w:val="none" w:sz="0" w:space="0" w:color="auto"/>
        <w:right w:val="none" w:sz="0" w:space="0" w:color="auto"/>
      </w:divBdr>
    </w:div>
    <w:div w:id="351615047">
      <w:marLeft w:val="0"/>
      <w:marRight w:val="0"/>
      <w:marTop w:val="0"/>
      <w:marBottom w:val="0"/>
      <w:divBdr>
        <w:top w:val="none" w:sz="0" w:space="0" w:color="auto"/>
        <w:left w:val="none" w:sz="0" w:space="0" w:color="auto"/>
        <w:bottom w:val="none" w:sz="0" w:space="0" w:color="auto"/>
        <w:right w:val="none" w:sz="0" w:space="0" w:color="auto"/>
      </w:divBdr>
    </w:div>
    <w:div w:id="351615048">
      <w:marLeft w:val="0"/>
      <w:marRight w:val="0"/>
      <w:marTop w:val="0"/>
      <w:marBottom w:val="0"/>
      <w:divBdr>
        <w:top w:val="none" w:sz="0" w:space="0" w:color="auto"/>
        <w:left w:val="none" w:sz="0" w:space="0" w:color="auto"/>
        <w:bottom w:val="none" w:sz="0" w:space="0" w:color="auto"/>
        <w:right w:val="none" w:sz="0" w:space="0" w:color="auto"/>
      </w:divBdr>
    </w:div>
    <w:div w:id="351615049">
      <w:marLeft w:val="0"/>
      <w:marRight w:val="0"/>
      <w:marTop w:val="0"/>
      <w:marBottom w:val="0"/>
      <w:divBdr>
        <w:top w:val="none" w:sz="0" w:space="0" w:color="auto"/>
        <w:left w:val="none" w:sz="0" w:space="0" w:color="auto"/>
        <w:bottom w:val="none" w:sz="0" w:space="0" w:color="auto"/>
        <w:right w:val="none" w:sz="0" w:space="0" w:color="auto"/>
      </w:divBdr>
    </w:div>
    <w:div w:id="351615050">
      <w:marLeft w:val="0"/>
      <w:marRight w:val="0"/>
      <w:marTop w:val="0"/>
      <w:marBottom w:val="0"/>
      <w:divBdr>
        <w:top w:val="none" w:sz="0" w:space="0" w:color="auto"/>
        <w:left w:val="none" w:sz="0" w:space="0" w:color="auto"/>
        <w:bottom w:val="none" w:sz="0" w:space="0" w:color="auto"/>
        <w:right w:val="none" w:sz="0" w:space="0" w:color="auto"/>
      </w:divBdr>
    </w:div>
    <w:div w:id="544952061">
      <w:bodyDiv w:val="1"/>
      <w:marLeft w:val="0"/>
      <w:marRight w:val="0"/>
      <w:marTop w:val="0"/>
      <w:marBottom w:val="0"/>
      <w:divBdr>
        <w:top w:val="none" w:sz="0" w:space="0" w:color="auto"/>
        <w:left w:val="none" w:sz="0" w:space="0" w:color="auto"/>
        <w:bottom w:val="none" w:sz="0" w:space="0" w:color="auto"/>
        <w:right w:val="none" w:sz="0" w:space="0" w:color="auto"/>
      </w:divBdr>
    </w:div>
    <w:div w:id="691687847">
      <w:bodyDiv w:val="1"/>
      <w:marLeft w:val="0"/>
      <w:marRight w:val="0"/>
      <w:marTop w:val="0"/>
      <w:marBottom w:val="0"/>
      <w:divBdr>
        <w:top w:val="none" w:sz="0" w:space="0" w:color="auto"/>
        <w:left w:val="none" w:sz="0" w:space="0" w:color="auto"/>
        <w:bottom w:val="none" w:sz="0" w:space="0" w:color="auto"/>
        <w:right w:val="none" w:sz="0" w:space="0" w:color="auto"/>
      </w:divBdr>
    </w:div>
    <w:div w:id="741878958">
      <w:bodyDiv w:val="1"/>
      <w:marLeft w:val="0"/>
      <w:marRight w:val="0"/>
      <w:marTop w:val="0"/>
      <w:marBottom w:val="0"/>
      <w:divBdr>
        <w:top w:val="none" w:sz="0" w:space="0" w:color="auto"/>
        <w:left w:val="none" w:sz="0" w:space="0" w:color="auto"/>
        <w:bottom w:val="none" w:sz="0" w:space="0" w:color="auto"/>
        <w:right w:val="none" w:sz="0" w:space="0" w:color="auto"/>
      </w:divBdr>
    </w:div>
    <w:div w:id="864514217">
      <w:bodyDiv w:val="1"/>
      <w:marLeft w:val="0"/>
      <w:marRight w:val="0"/>
      <w:marTop w:val="0"/>
      <w:marBottom w:val="0"/>
      <w:divBdr>
        <w:top w:val="none" w:sz="0" w:space="0" w:color="auto"/>
        <w:left w:val="none" w:sz="0" w:space="0" w:color="auto"/>
        <w:bottom w:val="none" w:sz="0" w:space="0" w:color="auto"/>
        <w:right w:val="none" w:sz="0" w:space="0" w:color="auto"/>
      </w:divBdr>
    </w:div>
    <w:div w:id="924147361">
      <w:bodyDiv w:val="1"/>
      <w:marLeft w:val="0"/>
      <w:marRight w:val="0"/>
      <w:marTop w:val="0"/>
      <w:marBottom w:val="0"/>
      <w:divBdr>
        <w:top w:val="none" w:sz="0" w:space="0" w:color="auto"/>
        <w:left w:val="none" w:sz="0" w:space="0" w:color="auto"/>
        <w:bottom w:val="none" w:sz="0" w:space="0" w:color="auto"/>
        <w:right w:val="none" w:sz="0" w:space="0" w:color="auto"/>
      </w:divBdr>
    </w:div>
    <w:div w:id="1040010430">
      <w:bodyDiv w:val="1"/>
      <w:marLeft w:val="0"/>
      <w:marRight w:val="0"/>
      <w:marTop w:val="0"/>
      <w:marBottom w:val="0"/>
      <w:divBdr>
        <w:top w:val="none" w:sz="0" w:space="0" w:color="auto"/>
        <w:left w:val="none" w:sz="0" w:space="0" w:color="auto"/>
        <w:bottom w:val="none" w:sz="0" w:space="0" w:color="auto"/>
        <w:right w:val="none" w:sz="0" w:space="0" w:color="auto"/>
      </w:divBdr>
    </w:div>
    <w:div w:id="1197696970">
      <w:bodyDiv w:val="1"/>
      <w:marLeft w:val="0"/>
      <w:marRight w:val="0"/>
      <w:marTop w:val="0"/>
      <w:marBottom w:val="0"/>
      <w:divBdr>
        <w:top w:val="none" w:sz="0" w:space="0" w:color="auto"/>
        <w:left w:val="none" w:sz="0" w:space="0" w:color="auto"/>
        <w:bottom w:val="none" w:sz="0" w:space="0" w:color="auto"/>
        <w:right w:val="none" w:sz="0" w:space="0" w:color="auto"/>
      </w:divBdr>
    </w:div>
    <w:div w:id="1333609106">
      <w:bodyDiv w:val="1"/>
      <w:marLeft w:val="0"/>
      <w:marRight w:val="0"/>
      <w:marTop w:val="0"/>
      <w:marBottom w:val="0"/>
      <w:divBdr>
        <w:top w:val="none" w:sz="0" w:space="0" w:color="auto"/>
        <w:left w:val="none" w:sz="0" w:space="0" w:color="auto"/>
        <w:bottom w:val="none" w:sz="0" w:space="0" w:color="auto"/>
        <w:right w:val="none" w:sz="0" w:space="0" w:color="auto"/>
      </w:divBdr>
    </w:div>
    <w:div w:id="1426538845">
      <w:bodyDiv w:val="1"/>
      <w:marLeft w:val="0"/>
      <w:marRight w:val="0"/>
      <w:marTop w:val="0"/>
      <w:marBottom w:val="0"/>
      <w:divBdr>
        <w:top w:val="none" w:sz="0" w:space="0" w:color="auto"/>
        <w:left w:val="none" w:sz="0" w:space="0" w:color="auto"/>
        <w:bottom w:val="none" w:sz="0" w:space="0" w:color="auto"/>
        <w:right w:val="none" w:sz="0" w:space="0" w:color="auto"/>
      </w:divBdr>
    </w:div>
    <w:div w:id="1657764928">
      <w:bodyDiv w:val="1"/>
      <w:marLeft w:val="0"/>
      <w:marRight w:val="0"/>
      <w:marTop w:val="0"/>
      <w:marBottom w:val="0"/>
      <w:divBdr>
        <w:top w:val="none" w:sz="0" w:space="0" w:color="auto"/>
        <w:left w:val="none" w:sz="0" w:space="0" w:color="auto"/>
        <w:bottom w:val="none" w:sz="0" w:space="0" w:color="auto"/>
        <w:right w:val="none" w:sz="0" w:space="0" w:color="auto"/>
      </w:divBdr>
    </w:div>
    <w:div w:id="17706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4F37-754C-43A9-A610-E130BA3D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4582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5433</CharactersWithSpaces>
  <SharedDoc>false</SharedDoc>
  <HLinks>
    <vt:vector size="60" baseType="variant">
      <vt:variant>
        <vt:i4>1572927</vt:i4>
      </vt:variant>
      <vt:variant>
        <vt:i4>56</vt:i4>
      </vt:variant>
      <vt:variant>
        <vt:i4>0</vt:i4>
      </vt:variant>
      <vt:variant>
        <vt:i4>5</vt:i4>
      </vt:variant>
      <vt:variant>
        <vt:lpwstr/>
      </vt:variant>
      <vt:variant>
        <vt:lpwstr>_Toc93908874</vt:lpwstr>
      </vt:variant>
      <vt:variant>
        <vt:i4>2031679</vt:i4>
      </vt:variant>
      <vt:variant>
        <vt:i4>50</vt:i4>
      </vt:variant>
      <vt:variant>
        <vt:i4>0</vt:i4>
      </vt:variant>
      <vt:variant>
        <vt:i4>5</vt:i4>
      </vt:variant>
      <vt:variant>
        <vt:lpwstr/>
      </vt:variant>
      <vt:variant>
        <vt:lpwstr>_Toc93908873</vt:lpwstr>
      </vt:variant>
      <vt:variant>
        <vt:i4>1966143</vt:i4>
      </vt:variant>
      <vt:variant>
        <vt:i4>44</vt:i4>
      </vt:variant>
      <vt:variant>
        <vt:i4>0</vt:i4>
      </vt:variant>
      <vt:variant>
        <vt:i4>5</vt:i4>
      </vt:variant>
      <vt:variant>
        <vt:lpwstr/>
      </vt:variant>
      <vt:variant>
        <vt:lpwstr>_Toc93908872</vt:lpwstr>
      </vt:variant>
      <vt:variant>
        <vt:i4>1900607</vt:i4>
      </vt:variant>
      <vt:variant>
        <vt:i4>38</vt:i4>
      </vt:variant>
      <vt:variant>
        <vt:i4>0</vt:i4>
      </vt:variant>
      <vt:variant>
        <vt:i4>5</vt:i4>
      </vt:variant>
      <vt:variant>
        <vt:lpwstr/>
      </vt:variant>
      <vt:variant>
        <vt:lpwstr>_Toc93908871</vt:lpwstr>
      </vt:variant>
      <vt:variant>
        <vt:i4>1835071</vt:i4>
      </vt:variant>
      <vt:variant>
        <vt:i4>32</vt:i4>
      </vt:variant>
      <vt:variant>
        <vt:i4>0</vt:i4>
      </vt:variant>
      <vt:variant>
        <vt:i4>5</vt:i4>
      </vt:variant>
      <vt:variant>
        <vt:lpwstr/>
      </vt:variant>
      <vt:variant>
        <vt:lpwstr>_Toc93908870</vt:lpwstr>
      </vt:variant>
      <vt:variant>
        <vt:i4>1376318</vt:i4>
      </vt:variant>
      <vt:variant>
        <vt:i4>26</vt:i4>
      </vt:variant>
      <vt:variant>
        <vt:i4>0</vt:i4>
      </vt:variant>
      <vt:variant>
        <vt:i4>5</vt:i4>
      </vt:variant>
      <vt:variant>
        <vt:lpwstr/>
      </vt:variant>
      <vt:variant>
        <vt:lpwstr>_Toc93908869</vt:lpwstr>
      </vt:variant>
      <vt:variant>
        <vt:i4>1310782</vt:i4>
      </vt:variant>
      <vt:variant>
        <vt:i4>20</vt:i4>
      </vt:variant>
      <vt:variant>
        <vt:i4>0</vt:i4>
      </vt:variant>
      <vt:variant>
        <vt:i4>5</vt:i4>
      </vt:variant>
      <vt:variant>
        <vt:lpwstr/>
      </vt:variant>
      <vt:variant>
        <vt:lpwstr>_Toc93908868</vt:lpwstr>
      </vt:variant>
      <vt:variant>
        <vt:i4>1769534</vt:i4>
      </vt:variant>
      <vt:variant>
        <vt:i4>14</vt:i4>
      </vt:variant>
      <vt:variant>
        <vt:i4>0</vt:i4>
      </vt:variant>
      <vt:variant>
        <vt:i4>5</vt:i4>
      </vt:variant>
      <vt:variant>
        <vt:lpwstr/>
      </vt:variant>
      <vt:variant>
        <vt:lpwstr>_Toc93908867</vt:lpwstr>
      </vt:variant>
      <vt:variant>
        <vt:i4>1703998</vt:i4>
      </vt:variant>
      <vt:variant>
        <vt:i4>8</vt:i4>
      </vt:variant>
      <vt:variant>
        <vt:i4>0</vt:i4>
      </vt:variant>
      <vt:variant>
        <vt:i4>5</vt:i4>
      </vt:variant>
      <vt:variant>
        <vt:lpwstr/>
      </vt:variant>
      <vt:variant>
        <vt:lpwstr>_Toc93908866</vt:lpwstr>
      </vt:variant>
      <vt:variant>
        <vt:i4>1638462</vt:i4>
      </vt:variant>
      <vt:variant>
        <vt:i4>2</vt:i4>
      </vt:variant>
      <vt:variant>
        <vt:i4>0</vt:i4>
      </vt:variant>
      <vt:variant>
        <vt:i4>5</vt:i4>
      </vt:variant>
      <vt:variant>
        <vt:lpwstr/>
      </vt:variant>
      <vt:variant>
        <vt:lpwstr>_Toc93908865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Consorci Sanitari del Garraf</dc:creator>
  <cp:keywords/>
  <dc:description/>
  <cp:lastModifiedBy>Ingrid Feliubadaló Díaz</cp:lastModifiedBy>
  <cp:revision>2</cp:revision>
  <cp:lastPrinted>2023-06-12T12:35:00Z</cp:lastPrinted>
  <dcterms:created xsi:type="dcterms:W3CDTF">2023-07-13T07:37:00Z</dcterms:created>
  <dcterms:modified xsi:type="dcterms:W3CDTF">2023-07-13T07:37:00Z</dcterms:modified>
</cp:coreProperties>
</file>