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F7281" w14:textId="15FDC0B9" w:rsidR="00375E0F" w:rsidRDefault="00375E0F">
      <w:pPr>
        <w:pStyle w:val="Textindependent"/>
        <w:ind w:left="101"/>
        <w:rPr>
          <w:rFonts w:ascii="Times New Roman"/>
          <w:sz w:val="20"/>
        </w:rPr>
      </w:pPr>
    </w:p>
    <w:p w14:paraId="13689A34" w14:textId="77777777" w:rsidR="00375E0F" w:rsidRDefault="00375E0F">
      <w:pPr>
        <w:pStyle w:val="Textindependent"/>
        <w:rPr>
          <w:rFonts w:ascii="Times New Roman"/>
          <w:sz w:val="20"/>
        </w:rPr>
      </w:pPr>
    </w:p>
    <w:p w14:paraId="2EF0807A" w14:textId="77777777" w:rsidR="00375E0F" w:rsidRDefault="00375E0F">
      <w:pPr>
        <w:pStyle w:val="Textindependent"/>
        <w:rPr>
          <w:rFonts w:ascii="Times New Roman"/>
          <w:sz w:val="20"/>
        </w:rPr>
      </w:pPr>
    </w:p>
    <w:p w14:paraId="5B7D9C04" w14:textId="77777777" w:rsidR="00375E0F" w:rsidRDefault="00375E0F">
      <w:pPr>
        <w:pStyle w:val="Textindependent"/>
        <w:rPr>
          <w:rFonts w:ascii="Times New Roman"/>
          <w:sz w:val="20"/>
        </w:rPr>
      </w:pPr>
    </w:p>
    <w:p w14:paraId="7CD71B2B" w14:textId="77777777" w:rsidR="00375E0F" w:rsidRDefault="00375E0F">
      <w:pPr>
        <w:pStyle w:val="Textindependent"/>
        <w:rPr>
          <w:rFonts w:ascii="Times New Roman"/>
          <w:sz w:val="20"/>
        </w:rPr>
      </w:pPr>
    </w:p>
    <w:p w14:paraId="633A3907" w14:textId="77777777" w:rsidR="00375E0F" w:rsidRDefault="00375E0F">
      <w:pPr>
        <w:pStyle w:val="Textindependent"/>
        <w:rPr>
          <w:rFonts w:ascii="Times New Roman"/>
          <w:sz w:val="20"/>
        </w:rPr>
      </w:pPr>
    </w:p>
    <w:p w14:paraId="4BAABDD9" w14:textId="77777777" w:rsidR="00375E0F" w:rsidRDefault="00375E0F">
      <w:pPr>
        <w:pStyle w:val="Textindependent"/>
        <w:rPr>
          <w:rFonts w:ascii="Times New Roman"/>
          <w:sz w:val="20"/>
        </w:rPr>
      </w:pPr>
    </w:p>
    <w:p w14:paraId="704214C8" w14:textId="77777777" w:rsidR="00375E0F" w:rsidRDefault="00375E0F">
      <w:pPr>
        <w:pStyle w:val="Textindependent"/>
        <w:spacing w:before="2"/>
        <w:rPr>
          <w:rFonts w:ascii="Times New Roman"/>
          <w:sz w:val="23"/>
        </w:rPr>
      </w:pPr>
    </w:p>
    <w:p w14:paraId="32242C86" w14:textId="77777777" w:rsidR="00375E0F" w:rsidRDefault="00AE3692">
      <w:pPr>
        <w:pStyle w:val="Ttol"/>
        <w:rPr>
          <w:u w:val="none"/>
        </w:rPr>
      </w:pPr>
      <w:r>
        <w:rPr>
          <w:u w:val="thick"/>
        </w:rPr>
        <w:t>Annex A-</w:t>
      </w:r>
      <w:r>
        <w:rPr>
          <w:spacing w:val="-2"/>
          <w:u w:val="thick"/>
        </w:rPr>
        <w:t xml:space="preserve"> </w:t>
      </w:r>
      <w:r>
        <w:rPr>
          <w:u w:val="thick"/>
        </w:rPr>
        <w:t>Model d’oferta tècnica</w:t>
      </w:r>
    </w:p>
    <w:p w14:paraId="30CCF1DD" w14:textId="77777777" w:rsidR="00375E0F" w:rsidRDefault="00375E0F">
      <w:pPr>
        <w:pStyle w:val="Textindependent"/>
        <w:rPr>
          <w:rFonts w:ascii="Arial"/>
          <w:b/>
          <w:sz w:val="20"/>
        </w:rPr>
      </w:pPr>
    </w:p>
    <w:p w14:paraId="41677551" w14:textId="77777777" w:rsidR="00375E0F" w:rsidRDefault="00375E0F">
      <w:pPr>
        <w:pStyle w:val="Textindependent"/>
        <w:rPr>
          <w:rFonts w:ascii="Arial"/>
          <w:b/>
          <w:sz w:val="20"/>
        </w:rPr>
      </w:pPr>
    </w:p>
    <w:p w14:paraId="390C6996" w14:textId="77777777" w:rsidR="00375E0F" w:rsidRDefault="00AE3692">
      <w:pPr>
        <w:pStyle w:val="Pargrafdellista"/>
        <w:numPr>
          <w:ilvl w:val="0"/>
          <w:numId w:val="1"/>
        </w:numPr>
        <w:tabs>
          <w:tab w:val="left" w:pos="822"/>
          <w:tab w:val="left" w:pos="823"/>
        </w:tabs>
        <w:spacing w:line="244" w:lineRule="auto"/>
        <w:ind w:right="111" w:hanging="360"/>
        <w:rPr>
          <w:sz w:val="24"/>
        </w:rPr>
      </w:pPr>
      <w:r>
        <w:rPr>
          <w:sz w:val="24"/>
        </w:rPr>
        <w:t>Millora</w:t>
      </w:r>
      <w:r>
        <w:rPr>
          <w:spacing w:val="13"/>
          <w:sz w:val="24"/>
        </w:rPr>
        <w:t xml:space="preserve"> </w:t>
      </w:r>
      <w:r>
        <w:rPr>
          <w:sz w:val="24"/>
        </w:rPr>
        <w:t>en</w:t>
      </w:r>
      <w:r>
        <w:rPr>
          <w:spacing w:val="14"/>
          <w:sz w:val="24"/>
        </w:rPr>
        <w:t xml:space="preserve"> </w:t>
      </w:r>
      <w:r>
        <w:rPr>
          <w:sz w:val="24"/>
        </w:rPr>
        <w:t>el</w:t>
      </w:r>
      <w:r>
        <w:rPr>
          <w:spacing w:val="14"/>
          <w:sz w:val="24"/>
        </w:rPr>
        <w:t xml:space="preserve"> </w:t>
      </w:r>
      <w:r>
        <w:rPr>
          <w:sz w:val="24"/>
        </w:rPr>
        <w:t>nombre</w:t>
      </w:r>
      <w:r>
        <w:rPr>
          <w:spacing w:val="13"/>
          <w:sz w:val="24"/>
        </w:rPr>
        <w:t xml:space="preserve"> </w:t>
      </w:r>
      <w:r>
        <w:rPr>
          <w:sz w:val="24"/>
        </w:rPr>
        <w:t>de</w:t>
      </w:r>
      <w:r>
        <w:rPr>
          <w:spacing w:val="13"/>
          <w:sz w:val="24"/>
        </w:rPr>
        <w:t xml:space="preserve"> </w:t>
      </w:r>
      <w:r>
        <w:rPr>
          <w:sz w:val="24"/>
        </w:rPr>
        <w:t>serveis</w:t>
      </w:r>
      <w:r>
        <w:rPr>
          <w:spacing w:val="12"/>
          <w:sz w:val="24"/>
        </w:rPr>
        <w:t xml:space="preserve"> </w:t>
      </w:r>
      <w:r>
        <w:rPr>
          <w:sz w:val="24"/>
        </w:rPr>
        <w:t>“</w:t>
      </w:r>
      <w:proofErr w:type="spellStart"/>
      <w:r>
        <w:rPr>
          <w:sz w:val="24"/>
        </w:rPr>
        <w:t>d’acudes</w:t>
      </w:r>
      <w:proofErr w:type="spellEnd"/>
      <w:r>
        <w:rPr>
          <w:sz w:val="24"/>
        </w:rPr>
        <w:t>”</w:t>
      </w:r>
      <w:r>
        <w:rPr>
          <w:spacing w:val="20"/>
          <w:sz w:val="24"/>
        </w:rPr>
        <w:t xml:space="preserve"> </w:t>
      </w:r>
      <w:r>
        <w:rPr>
          <w:sz w:val="24"/>
        </w:rPr>
        <w:t>mensuals</w:t>
      </w:r>
      <w:r>
        <w:rPr>
          <w:spacing w:val="13"/>
          <w:sz w:val="24"/>
        </w:rPr>
        <w:t xml:space="preserve"> </w:t>
      </w:r>
      <w:r>
        <w:rPr>
          <w:sz w:val="24"/>
        </w:rPr>
        <w:t>sense</w:t>
      </w:r>
      <w:r>
        <w:rPr>
          <w:spacing w:val="15"/>
          <w:sz w:val="24"/>
        </w:rPr>
        <w:t xml:space="preserve"> </w:t>
      </w:r>
      <w:r>
        <w:rPr>
          <w:sz w:val="24"/>
        </w:rPr>
        <w:t>cost</w:t>
      </w:r>
      <w:r>
        <w:rPr>
          <w:spacing w:val="12"/>
          <w:sz w:val="24"/>
        </w:rPr>
        <w:t xml:space="preserve"> </w:t>
      </w:r>
      <w:proofErr w:type="spellStart"/>
      <w:r>
        <w:rPr>
          <w:sz w:val="24"/>
        </w:rPr>
        <w:t>ofertat</w:t>
      </w:r>
      <w:proofErr w:type="spellEnd"/>
      <w:r>
        <w:rPr>
          <w:spacing w:val="11"/>
          <w:sz w:val="24"/>
        </w:rPr>
        <w:t xml:space="preserve"> </w:t>
      </w:r>
      <w:r>
        <w:rPr>
          <w:sz w:val="24"/>
        </w:rPr>
        <w:t>(</w:t>
      </w:r>
      <w:r>
        <w:rPr>
          <w:spacing w:val="14"/>
          <w:sz w:val="24"/>
        </w:rPr>
        <w:t xml:space="preserve"> </w:t>
      </w:r>
      <w:r>
        <w:rPr>
          <w:sz w:val="24"/>
        </w:rPr>
        <w:t>per</w:t>
      </w:r>
      <w:r>
        <w:rPr>
          <w:spacing w:val="-61"/>
          <w:sz w:val="24"/>
        </w:rPr>
        <w:t xml:space="preserve"> </w:t>
      </w:r>
      <w:r>
        <w:rPr>
          <w:sz w:val="24"/>
        </w:rPr>
        <w:t>damunt</w:t>
      </w:r>
      <w:r>
        <w:rPr>
          <w:spacing w:val="2"/>
          <w:sz w:val="24"/>
        </w:rPr>
        <w:t xml:space="preserve"> </w:t>
      </w:r>
      <w:r>
        <w:rPr>
          <w:sz w:val="24"/>
        </w:rPr>
        <w:t>dels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5"/>
          <w:sz w:val="24"/>
        </w:rPr>
        <w:t xml:space="preserve"> </w:t>
      </w:r>
      <w:r>
        <w:rPr>
          <w:sz w:val="24"/>
        </w:rPr>
        <w:t>serveis</w:t>
      </w:r>
      <w:r>
        <w:rPr>
          <w:spacing w:val="2"/>
          <w:sz w:val="24"/>
        </w:rPr>
        <w:t xml:space="preserve"> </w:t>
      </w:r>
      <w:r>
        <w:rPr>
          <w:sz w:val="24"/>
        </w:rPr>
        <w:t>mínims</w:t>
      </w:r>
      <w:r>
        <w:rPr>
          <w:spacing w:val="1"/>
          <w:sz w:val="24"/>
        </w:rPr>
        <w:t xml:space="preserve"> </w:t>
      </w:r>
      <w:r>
        <w:rPr>
          <w:sz w:val="24"/>
        </w:rPr>
        <w:t>mensuals</w:t>
      </w:r>
      <w:r>
        <w:rPr>
          <w:spacing w:val="1"/>
          <w:sz w:val="24"/>
        </w:rPr>
        <w:t xml:space="preserve"> </w:t>
      </w:r>
      <w:r>
        <w:rPr>
          <w:sz w:val="24"/>
        </w:rPr>
        <w:t>del plec).</w:t>
      </w:r>
    </w:p>
    <w:p w14:paraId="2C3B6C12" w14:textId="77777777" w:rsidR="00375E0F" w:rsidRDefault="00375E0F">
      <w:pPr>
        <w:pStyle w:val="Textindependent"/>
        <w:spacing w:before="2"/>
      </w:pPr>
    </w:p>
    <w:p w14:paraId="7EADBA70" w14:textId="77777777" w:rsidR="00375E0F" w:rsidRDefault="00AE3692">
      <w:pPr>
        <w:pStyle w:val="Textindependent"/>
        <w:spacing w:line="487" w:lineRule="auto"/>
        <w:ind w:left="821" w:right="2879"/>
      </w:pPr>
      <w:r>
        <w:pict w14:anchorId="5465BA3F">
          <v:rect id="_x0000_s1026" style="position:absolute;left:0;text-align:left;margin-left:234.7pt;margin-top:28.6pt;width:11.5pt;height:11.5pt;z-index:-251658752;mso-position-horizontal-relative:page" filled="f" strokeweight=".72pt">
            <w10:wrap anchorx="page"/>
          </v:rect>
        </w:pict>
      </w:r>
      <w:r>
        <w:t>En</w:t>
      </w:r>
      <w:r>
        <w:rPr>
          <w:spacing w:val="3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cas de millora</w:t>
      </w:r>
      <w:r>
        <w:rPr>
          <w:spacing w:val="3"/>
        </w:rPr>
        <w:t xml:space="preserve"> </w:t>
      </w:r>
      <w:r>
        <w:t>heu</w:t>
      </w:r>
      <w:r>
        <w:rPr>
          <w:spacing w:val="4"/>
        </w:rPr>
        <w:t xml:space="preserve"> </w:t>
      </w:r>
      <w:r>
        <w:t>de posar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nombre:</w:t>
      </w:r>
      <w:r>
        <w:rPr>
          <w:spacing w:val="-61"/>
        </w:rPr>
        <w:t xml:space="preserve"> </w:t>
      </w:r>
      <w:r>
        <w:t>Nombre</w:t>
      </w:r>
      <w:r>
        <w:rPr>
          <w:spacing w:val="1"/>
        </w:rPr>
        <w:t xml:space="preserve"> </w:t>
      </w:r>
      <w:proofErr w:type="spellStart"/>
      <w:r>
        <w:t>d’acudes</w:t>
      </w:r>
      <w:proofErr w:type="spellEnd"/>
      <w:r>
        <w:t>;</w:t>
      </w:r>
    </w:p>
    <w:p w14:paraId="69D65AF6" w14:textId="77777777" w:rsidR="00375E0F" w:rsidRDefault="00375E0F">
      <w:pPr>
        <w:pStyle w:val="Textindependent"/>
        <w:rPr>
          <w:sz w:val="20"/>
        </w:rPr>
      </w:pPr>
    </w:p>
    <w:p w14:paraId="5F6C8E5E" w14:textId="77777777" w:rsidR="00375E0F" w:rsidRDefault="00375E0F">
      <w:pPr>
        <w:pStyle w:val="Textindependent"/>
        <w:spacing w:before="4"/>
        <w:rPr>
          <w:sz w:val="20"/>
        </w:rPr>
      </w:pPr>
    </w:p>
    <w:p w14:paraId="629EA7C7" w14:textId="77777777" w:rsidR="00375E0F" w:rsidRDefault="00AE3692">
      <w:pPr>
        <w:pStyle w:val="Pargrafdellista"/>
        <w:numPr>
          <w:ilvl w:val="0"/>
          <w:numId w:val="1"/>
        </w:numPr>
        <w:tabs>
          <w:tab w:val="left" w:pos="822"/>
          <w:tab w:val="left" w:pos="823"/>
        </w:tabs>
        <w:spacing w:line="244" w:lineRule="auto"/>
        <w:ind w:hanging="360"/>
        <w:rPr>
          <w:sz w:val="24"/>
        </w:rPr>
      </w:pPr>
      <w:r>
        <w:rPr>
          <w:sz w:val="24"/>
        </w:rPr>
        <w:t>Preu</w:t>
      </w:r>
      <w:r>
        <w:rPr>
          <w:spacing w:val="44"/>
          <w:sz w:val="24"/>
        </w:rPr>
        <w:t xml:space="preserve"> </w:t>
      </w:r>
      <w:r>
        <w:rPr>
          <w:sz w:val="24"/>
        </w:rPr>
        <w:t>unitari</w:t>
      </w:r>
      <w:r>
        <w:rPr>
          <w:spacing w:val="44"/>
          <w:sz w:val="24"/>
        </w:rPr>
        <w:t xml:space="preserve"> </w:t>
      </w:r>
      <w:r>
        <w:rPr>
          <w:sz w:val="24"/>
        </w:rPr>
        <w:t>del</w:t>
      </w:r>
      <w:r>
        <w:rPr>
          <w:spacing w:val="47"/>
          <w:sz w:val="24"/>
        </w:rPr>
        <w:t xml:space="preserve"> </w:t>
      </w:r>
      <w:r>
        <w:rPr>
          <w:sz w:val="24"/>
        </w:rPr>
        <w:t>servei</w:t>
      </w:r>
      <w:r>
        <w:rPr>
          <w:spacing w:val="44"/>
          <w:sz w:val="24"/>
        </w:rPr>
        <w:t xml:space="preserve"> </w:t>
      </w:r>
      <w:proofErr w:type="spellStart"/>
      <w:r>
        <w:rPr>
          <w:sz w:val="24"/>
        </w:rPr>
        <w:t>d’acuda</w:t>
      </w:r>
      <w:proofErr w:type="spellEnd"/>
      <w:r>
        <w:rPr>
          <w:spacing w:val="45"/>
          <w:sz w:val="24"/>
        </w:rPr>
        <w:t xml:space="preserve"> </w:t>
      </w:r>
      <w:r>
        <w:rPr>
          <w:sz w:val="24"/>
        </w:rPr>
        <w:t>(patrulla</w:t>
      </w:r>
      <w:r>
        <w:rPr>
          <w:spacing w:val="46"/>
          <w:sz w:val="24"/>
        </w:rPr>
        <w:t xml:space="preserve"> </w:t>
      </w:r>
      <w:r>
        <w:rPr>
          <w:sz w:val="24"/>
        </w:rPr>
        <w:t>mòbil)</w:t>
      </w:r>
      <w:r>
        <w:rPr>
          <w:spacing w:val="44"/>
          <w:sz w:val="24"/>
        </w:rPr>
        <w:t xml:space="preserve"> </w:t>
      </w:r>
      <w:r>
        <w:rPr>
          <w:sz w:val="24"/>
        </w:rPr>
        <w:t>quan</w:t>
      </w:r>
      <w:r>
        <w:rPr>
          <w:spacing w:val="47"/>
          <w:sz w:val="24"/>
        </w:rPr>
        <w:t xml:space="preserve"> </w:t>
      </w:r>
      <w:r>
        <w:rPr>
          <w:sz w:val="24"/>
        </w:rPr>
        <w:t>se</w:t>
      </w:r>
      <w:r>
        <w:rPr>
          <w:spacing w:val="45"/>
          <w:sz w:val="24"/>
        </w:rPr>
        <w:t xml:space="preserve"> </w:t>
      </w:r>
      <w:r>
        <w:rPr>
          <w:sz w:val="24"/>
        </w:rPr>
        <w:t>superin</w:t>
      </w:r>
      <w:r>
        <w:rPr>
          <w:spacing w:val="47"/>
          <w:sz w:val="24"/>
        </w:rPr>
        <w:t xml:space="preserve"> </w:t>
      </w:r>
      <w:r>
        <w:rPr>
          <w:sz w:val="24"/>
        </w:rPr>
        <w:t>els</w:t>
      </w:r>
      <w:r>
        <w:rPr>
          <w:spacing w:val="48"/>
          <w:sz w:val="24"/>
        </w:rPr>
        <w:t xml:space="preserve"> </w:t>
      </w:r>
      <w:r>
        <w:rPr>
          <w:sz w:val="24"/>
        </w:rPr>
        <w:t>serveis</w:t>
      </w:r>
      <w:r>
        <w:rPr>
          <w:spacing w:val="-61"/>
          <w:sz w:val="24"/>
        </w:rPr>
        <w:t xml:space="preserve"> </w:t>
      </w:r>
      <w:r>
        <w:rPr>
          <w:sz w:val="24"/>
        </w:rPr>
        <w:t>mensuals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ofertats</w:t>
      </w:r>
      <w:proofErr w:type="spellEnd"/>
      <w:r>
        <w:rPr>
          <w:sz w:val="24"/>
        </w:rPr>
        <w:t>.</w:t>
      </w:r>
    </w:p>
    <w:p w14:paraId="7B977241" w14:textId="77777777" w:rsidR="00375E0F" w:rsidRDefault="00375E0F">
      <w:pPr>
        <w:pStyle w:val="Textindependent"/>
        <w:rPr>
          <w:sz w:val="20"/>
        </w:rPr>
      </w:pPr>
    </w:p>
    <w:p w14:paraId="7C071634" w14:textId="77777777" w:rsidR="00375E0F" w:rsidRDefault="00375E0F">
      <w:pPr>
        <w:pStyle w:val="Textindependent"/>
        <w:rPr>
          <w:sz w:val="20"/>
        </w:rPr>
      </w:pPr>
    </w:p>
    <w:p w14:paraId="36EBCCFD" w14:textId="77777777" w:rsidR="00375E0F" w:rsidRDefault="00375E0F">
      <w:pPr>
        <w:pStyle w:val="Textindependent"/>
        <w:rPr>
          <w:sz w:val="20"/>
        </w:rPr>
      </w:pPr>
    </w:p>
    <w:p w14:paraId="0F23E8BE" w14:textId="77777777" w:rsidR="00375E0F" w:rsidRDefault="00375E0F">
      <w:pPr>
        <w:pStyle w:val="Textindependent"/>
        <w:spacing w:before="7"/>
        <w:rPr>
          <w:sz w:val="12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2"/>
        <w:gridCol w:w="3111"/>
        <w:gridCol w:w="3111"/>
      </w:tblGrid>
      <w:tr w:rsidR="00375E0F" w14:paraId="761C368F" w14:textId="77777777">
        <w:trPr>
          <w:trHeight w:val="1379"/>
        </w:trPr>
        <w:tc>
          <w:tcPr>
            <w:tcW w:w="2842" w:type="dxa"/>
          </w:tcPr>
          <w:p w14:paraId="6FA48AE6" w14:textId="77777777" w:rsidR="00375E0F" w:rsidRDefault="00375E0F">
            <w:pPr>
              <w:pStyle w:val="TableParagraph"/>
              <w:spacing w:before="8"/>
              <w:rPr>
                <w:sz w:val="24"/>
              </w:rPr>
            </w:pPr>
          </w:p>
          <w:p w14:paraId="16719D82" w14:textId="77777777" w:rsidR="00375E0F" w:rsidRDefault="00AE3692">
            <w:pPr>
              <w:pStyle w:val="TableParagraph"/>
              <w:spacing w:line="244" w:lineRule="auto"/>
              <w:ind w:left="827" w:right="388"/>
              <w:jc w:val="both"/>
              <w:rPr>
                <w:sz w:val="24"/>
              </w:rPr>
            </w:pPr>
            <w:r>
              <w:rPr>
                <w:sz w:val="24"/>
              </w:rPr>
              <w:t>Preu unitari del</w:t>
            </w:r>
            <w:r>
              <w:rPr>
                <w:spacing w:val="-61"/>
                <w:sz w:val="24"/>
              </w:rPr>
              <w:t xml:space="preserve"> </w:t>
            </w:r>
            <w:r>
              <w:rPr>
                <w:sz w:val="24"/>
              </w:rPr>
              <w:t xml:space="preserve">servei </w:t>
            </w:r>
            <w:proofErr w:type="spellStart"/>
            <w:r>
              <w:rPr>
                <w:sz w:val="24"/>
              </w:rPr>
              <w:t>d’acuda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sense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IVA</w:t>
            </w:r>
          </w:p>
        </w:tc>
        <w:tc>
          <w:tcPr>
            <w:tcW w:w="3111" w:type="dxa"/>
          </w:tcPr>
          <w:p w14:paraId="1FB432C2" w14:textId="77777777" w:rsidR="00375E0F" w:rsidRDefault="00375E0F">
            <w:pPr>
              <w:pStyle w:val="TableParagraph"/>
              <w:rPr>
                <w:sz w:val="26"/>
              </w:rPr>
            </w:pPr>
          </w:p>
          <w:p w14:paraId="5F0C0E99" w14:textId="77777777" w:rsidR="00375E0F" w:rsidRDefault="00375E0F">
            <w:pPr>
              <w:pStyle w:val="TableParagraph"/>
              <w:spacing w:before="1"/>
              <w:rPr>
                <w:sz w:val="23"/>
              </w:rPr>
            </w:pPr>
          </w:p>
          <w:p w14:paraId="6C98E06A" w14:textId="77777777" w:rsidR="00375E0F" w:rsidRDefault="00AE3692">
            <w:pPr>
              <w:pStyle w:val="TableParagraph"/>
              <w:ind w:left="1412"/>
              <w:rPr>
                <w:sz w:val="24"/>
              </w:rPr>
            </w:pPr>
            <w:r>
              <w:rPr>
                <w:sz w:val="24"/>
              </w:rPr>
              <w:t>21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IVA</w:t>
            </w:r>
          </w:p>
        </w:tc>
        <w:tc>
          <w:tcPr>
            <w:tcW w:w="3111" w:type="dxa"/>
          </w:tcPr>
          <w:p w14:paraId="3FE644BC" w14:textId="77777777" w:rsidR="00375E0F" w:rsidRDefault="00375E0F">
            <w:pPr>
              <w:pStyle w:val="TableParagraph"/>
              <w:spacing w:before="8"/>
              <w:rPr>
                <w:sz w:val="24"/>
              </w:rPr>
            </w:pPr>
          </w:p>
          <w:p w14:paraId="7FE7AE72" w14:textId="77777777" w:rsidR="00375E0F" w:rsidRDefault="00AE3692">
            <w:pPr>
              <w:pStyle w:val="TableParagraph"/>
              <w:spacing w:line="244" w:lineRule="auto"/>
              <w:ind w:left="910" w:right="185" w:hanging="1"/>
              <w:jc w:val="center"/>
              <w:rPr>
                <w:sz w:val="24"/>
              </w:rPr>
            </w:pPr>
            <w:r>
              <w:rPr>
                <w:sz w:val="24"/>
              </w:rPr>
              <w:t>Preu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unitari del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servei </w:t>
            </w:r>
            <w:proofErr w:type="spellStart"/>
            <w:r>
              <w:rPr>
                <w:sz w:val="24"/>
              </w:rPr>
              <w:t>d’acuda</w:t>
            </w:r>
            <w:proofErr w:type="spellEnd"/>
            <w:r>
              <w:rPr>
                <w:sz w:val="24"/>
              </w:rPr>
              <w:t xml:space="preserve"> IVA</w:t>
            </w:r>
            <w:r>
              <w:rPr>
                <w:spacing w:val="-61"/>
                <w:sz w:val="24"/>
              </w:rPr>
              <w:t xml:space="preserve"> </w:t>
            </w:r>
            <w:r>
              <w:rPr>
                <w:sz w:val="24"/>
              </w:rPr>
              <w:t>inclòs</w:t>
            </w:r>
          </w:p>
        </w:tc>
      </w:tr>
      <w:tr w:rsidR="00375E0F" w14:paraId="620F2E57" w14:textId="77777777">
        <w:trPr>
          <w:trHeight w:val="1103"/>
        </w:trPr>
        <w:tc>
          <w:tcPr>
            <w:tcW w:w="2842" w:type="dxa"/>
          </w:tcPr>
          <w:p w14:paraId="33660290" w14:textId="77777777" w:rsidR="00375E0F" w:rsidRDefault="00375E0F">
            <w:pPr>
              <w:pStyle w:val="TableParagraph"/>
              <w:spacing w:before="9"/>
              <w:rPr>
                <w:sz w:val="36"/>
              </w:rPr>
            </w:pPr>
          </w:p>
          <w:p w14:paraId="6B7D1677" w14:textId="77777777" w:rsidR="00375E0F" w:rsidRDefault="00AE3692">
            <w:pPr>
              <w:pStyle w:val="TableParagraph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€</w:t>
            </w:r>
          </w:p>
        </w:tc>
        <w:tc>
          <w:tcPr>
            <w:tcW w:w="3111" w:type="dxa"/>
          </w:tcPr>
          <w:p w14:paraId="38D3D05D" w14:textId="77777777" w:rsidR="00375E0F" w:rsidRDefault="00375E0F">
            <w:pPr>
              <w:pStyle w:val="TableParagraph"/>
              <w:rPr>
                <w:sz w:val="26"/>
              </w:rPr>
            </w:pPr>
          </w:p>
          <w:p w14:paraId="30ED4073" w14:textId="77777777" w:rsidR="00375E0F" w:rsidRDefault="00375E0F">
            <w:pPr>
              <w:pStyle w:val="TableParagraph"/>
              <w:spacing w:before="1"/>
              <w:rPr>
                <w:sz w:val="23"/>
              </w:rPr>
            </w:pPr>
          </w:p>
          <w:p w14:paraId="18CE4C41" w14:textId="77777777" w:rsidR="00375E0F" w:rsidRDefault="00AE3692">
            <w:pPr>
              <w:pStyle w:val="TableParagraph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€</w:t>
            </w:r>
          </w:p>
        </w:tc>
        <w:tc>
          <w:tcPr>
            <w:tcW w:w="3111" w:type="dxa"/>
          </w:tcPr>
          <w:p w14:paraId="3D50103D" w14:textId="77777777" w:rsidR="00375E0F" w:rsidRDefault="00375E0F">
            <w:pPr>
              <w:pStyle w:val="TableParagraph"/>
              <w:spacing w:before="9"/>
              <w:rPr>
                <w:sz w:val="36"/>
              </w:rPr>
            </w:pPr>
          </w:p>
          <w:p w14:paraId="438BB799" w14:textId="77777777" w:rsidR="00375E0F" w:rsidRDefault="00AE3692">
            <w:pPr>
              <w:pStyle w:val="TableParagraph"/>
              <w:ind w:right="617"/>
              <w:jc w:val="right"/>
              <w:rPr>
                <w:sz w:val="24"/>
              </w:rPr>
            </w:pPr>
            <w:r>
              <w:rPr>
                <w:sz w:val="24"/>
              </w:rPr>
              <w:t>€</w:t>
            </w:r>
          </w:p>
        </w:tc>
      </w:tr>
    </w:tbl>
    <w:p w14:paraId="7B719D90" w14:textId="77777777" w:rsidR="00375E0F" w:rsidRDefault="00375E0F">
      <w:pPr>
        <w:pStyle w:val="Textindependent"/>
        <w:rPr>
          <w:sz w:val="20"/>
        </w:rPr>
      </w:pPr>
    </w:p>
    <w:p w14:paraId="50B694F9" w14:textId="77777777" w:rsidR="00375E0F" w:rsidRDefault="00375E0F">
      <w:pPr>
        <w:pStyle w:val="Textindependent"/>
        <w:rPr>
          <w:sz w:val="20"/>
        </w:rPr>
      </w:pPr>
    </w:p>
    <w:p w14:paraId="077DF172" w14:textId="77777777" w:rsidR="00375E0F" w:rsidRDefault="00375E0F">
      <w:pPr>
        <w:pStyle w:val="Textindependent"/>
        <w:rPr>
          <w:sz w:val="20"/>
        </w:rPr>
      </w:pPr>
    </w:p>
    <w:p w14:paraId="05A465DA" w14:textId="77777777" w:rsidR="00375E0F" w:rsidRDefault="00375E0F">
      <w:pPr>
        <w:pStyle w:val="Textindependent"/>
        <w:rPr>
          <w:sz w:val="20"/>
        </w:rPr>
      </w:pPr>
    </w:p>
    <w:p w14:paraId="0EE421F5" w14:textId="77777777" w:rsidR="00375E0F" w:rsidRDefault="00375E0F">
      <w:pPr>
        <w:pStyle w:val="Textindependent"/>
        <w:rPr>
          <w:sz w:val="20"/>
        </w:rPr>
      </w:pPr>
    </w:p>
    <w:p w14:paraId="60F76B99" w14:textId="77777777" w:rsidR="00375E0F" w:rsidRDefault="00375E0F">
      <w:pPr>
        <w:pStyle w:val="Textindependent"/>
        <w:rPr>
          <w:sz w:val="20"/>
        </w:rPr>
      </w:pPr>
    </w:p>
    <w:p w14:paraId="0EE7C43F" w14:textId="77777777" w:rsidR="00375E0F" w:rsidRDefault="00375E0F">
      <w:pPr>
        <w:pStyle w:val="Textindependent"/>
        <w:rPr>
          <w:sz w:val="20"/>
        </w:rPr>
      </w:pPr>
    </w:p>
    <w:p w14:paraId="6C605B6F" w14:textId="77777777" w:rsidR="00375E0F" w:rsidRDefault="00375E0F">
      <w:pPr>
        <w:pStyle w:val="Textindependent"/>
        <w:rPr>
          <w:sz w:val="20"/>
        </w:rPr>
      </w:pPr>
    </w:p>
    <w:p w14:paraId="47A09428" w14:textId="77777777" w:rsidR="00375E0F" w:rsidRDefault="00375E0F">
      <w:pPr>
        <w:pStyle w:val="Textindependent"/>
        <w:rPr>
          <w:sz w:val="20"/>
        </w:rPr>
      </w:pPr>
    </w:p>
    <w:p w14:paraId="76608C7C" w14:textId="77777777" w:rsidR="00375E0F" w:rsidRDefault="00375E0F">
      <w:pPr>
        <w:pStyle w:val="Textindependent"/>
        <w:rPr>
          <w:sz w:val="20"/>
        </w:rPr>
      </w:pPr>
    </w:p>
    <w:p w14:paraId="70FA5599" w14:textId="77777777" w:rsidR="00375E0F" w:rsidRDefault="00375E0F">
      <w:pPr>
        <w:pStyle w:val="Textindependent"/>
        <w:rPr>
          <w:sz w:val="20"/>
        </w:rPr>
      </w:pPr>
    </w:p>
    <w:p w14:paraId="4EB2C5CB" w14:textId="77777777" w:rsidR="00375E0F" w:rsidRDefault="00375E0F">
      <w:pPr>
        <w:pStyle w:val="Textindependent"/>
        <w:rPr>
          <w:sz w:val="20"/>
        </w:rPr>
      </w:pPr>
    </w:p>
    <w:p w14:paraId="3B5AD649" w14:textId="77777777" w:rsidR="00375E0F" w:rsidRDefault="00375E0F">
      <w:pPr>
        <w:pStyle w:val="Textindependent"/>
        <w:rPr>
          <w:sz w:val="20"/>
        </w:rPr>
      </w:pPr>
    </w:p>
    <w:p w14:paraId="26DB8AAF" w14:textId="77777777" w:rsidR="00375E0F" w:rsidRDefault="00375E0F">
      <w:pPr>
        <w:pStyle w:val="Textindependent"/>
        <w:spacing w:before="5"/>
      </w:pPr>
    </w:p>
    <w:p w14:paraId="4F641F16" w14:textId="77777777" w:rsidR="00375E0F" w:rsidRDefault="00AE3692">
      <w:pPr>
        <w:pStyle w:val="Textindependent"/>
        <w:spacing w:before="97" w:line="244" w:lineRule="auto"/>
        <w:ind w:left="101" w:right="7181"/>
      </w:pPr>
      <w:r>
        <w:t>Nom</w:t>
      </w:r>
      <w:r>
        <w:rPr>
          <w:spacing w:val="3"/>
        </w:rPr>
        <w:t xml:space="preserve"> </w:t>
      </w:r>
      <w:r>
        <w:t>apoderat</w:t>
      </w:r>
      <w:r>
        <w:rPr>
          <w:spacing w:val="1"/>
        </w:rPr>
        <w:t xml:space="preserve"> </w:t>
      </w:r>
      <w:r>
        <w:t>Nom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l’empresa</w:t>
      </w:r>
    </w:p>
    <w:sectPr w:rsidR="00375E0F">
      <w:type w:val="continuous"/>
      <w:pgSz w:w="11910" w:h="16840"/>
      <w:pgMar w:top="560" w:right="1020" w:bottom="280" w:left="16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42E50"/>
    <w:multiLevelType w:val="hybridMultilevel"/>
    <w:tmpl w:val="F514C7D0"/>
    <w:lvl w:ilvl="0" w:tplc="ED94D6D4">
      <w:numFmt w:val="bullet"/>
      <w:lvlText w:val="-"/>
      <w:lvlJc w:val="left"/>
      <w:pPr>
        <w:ind w:left="821" w:hanging="361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ca-ES" w:eastAsia="en-US" w:bidi="ar-SA"/>
      </w:rPr>
    </w:lvl>
    <w:lvl w:ilvl="1" w:tplc="1C646B68">
      <w:numFmt w:val="bullet"/>
      <w:lvlText w:val="•"/>
      <w:lvlJc w:val="left"/>
      <w:pPr>
        <w:ind w:left="1666" w:hanging="361"/>
      </w:pPr>
      <w:rPr>
        <w:rFonts w:hint="default"/>
        <w:lang w:val="ca-ES" w:eastAsia="en-US" w:bidi="ar-SA"/>
      </w:rPr>
    </w:lvl>
    <w:lvl w:ilvl="2" w:tplc="D8CE0F78">
      <w:numFmt w:val="bullet"/>
      <w:lvlText w:val="•"/>
      <w:lvlJc w:val="left"/>
      <w:pPr>
        <w:ind w:left="2513" w:hanging="361"/>
      </w:pPr>
      <w:rPr>
        <w:rFonts w:hint="default"/>
        <w:lang w:val="ca-ES" w:eastAsia="en-US" w:bidi="ar-SA"/>
      </w:rPr>
    </w:lvl>
    <w:lvl w:ilvl="3" w:tplc="E9CE4A10">
      <w:numFmt w:val="bullet"/>
      <w:lvlText w:val="•"/>
      <w:lvlJc w:val="left"/>
      <w:pPr>
        <w:ind w:left="3359" w:hanging="361"/>
      </w:pPr>
      <w:rPr>
        <w:rFonts w:hint="default"/>
        <w:lang w:val="ca-ES" w:eastAsia="en-US" w:bidi="ar-SA"/>
      </w:rPr>
    </w:lvl>
    <w:lvl w:ilvl="4" w:tplc="A1AAA19E">
      <w:numFmt w:val="bullet"/>
      <w:lvlText w:val="•"/>
      <w:lvlJc w:val="left"/>
      <w:pPr>
        <w:ind w:left="4206" w:hanging="361"/>
      </w:pPr>
      <w:rPr>
        <w:rFonts w:hint="default"/>
        <w:lang w:val="ca-ES" w:eastAsia="en-US" w:bidi="ar-SA"/>
      </w:rPr>
    </w:lvl>
    <w:lvl w:ilvl="5" w:tplc="A04E4400">
      <w:numFmt w:val="bullet"/>
      <w:lvlText w:val="•"/>
      <w:lvlJc w:val="left"/>
      <w:pPr>
        <w:ind w:left="5053" w:hanging="361"/>
      </w:pPr>
      <w:rPr>
        <w:rFonts w:hint="default"/>
        <w:lang w:val="ca-ES" w:eastAsia="en-US" w:bidi="ar-SA"/>
      </w:rPr>
    </w:lvl>
    <w:lvl w:ilvl="6" w:tplc="257EC6E8">
      <w:numFmt w:val="bullet"/>
      <w:lvlText w:val="•"/>
      <w:lvlJc w:val="left"/>
      <w:pPr>
        <w:ind w:left="5899" w:hanging="361"/>
      </w:pPr>
      <w:rPr>
        <w:rFonts w:hint="default"/>
        <w:lang w:val="ca-ES" w:eastAsia="en-US" w:bidi="ar-SA"/>
      </w:rPr>
    </w:lvl>
    <w:lvl w:ilvl="7" w:tplc="6ADE6820">
      <w:numFmt w:val="bullet"/>
      <w:lvlText w:val="•"/>
      <w:lvlJc w:val="left"/>
      <w:pPr>
        <w:ind w:left="6746" w:hanging="361"/>
      </w:pPr>
      <w:rPr>
        <w:rFonts w:hint="default"/>
        <w:lang w:val="ca-ES" w:eastAsia="en-US" w:bidi="ar-SA"/>
      </w:rPr>
    </w:lvl>
    <w:lvl w:ilvl="8" w:tplc="0CBE5038">
      <w:numFmt w:val="bullet"/>
      <w:lvlText w:val="•"/>
      <w:lvlJc w:val="left"/>
      <w:pPr>
        <w:ind w:left="7593" w:hanging="361"/>
      </w:pPr>
      <w:rPr>
        <w:rFonts w:hint="default"/>
        <w:lang w:val="ca-ES" w:eastAsia="en-US" w:bidi="ar-SA"/>
      </w:rPr>
    </w:lvl>
  </w:abstractNum>
  <w:num w:numId="1" w16cid:durableId="1226722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75E0F"/>
    <w:rsid w:val="00375E0F"/>
    <w:rsid w:val="00AE3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55D5E04"/>
  <w15:docId w15:val="{78B90035-C912-46CF-A235-0AA155391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Microsoft Sans Serif" w:eastAsia="Microsoft Sans Serif" w:hAnsi="Microsoft Sans Serif" w:cs="Microsoft Sans Serif"/>
      <w:lang w:val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independent">
    <w:name w:val="Body Text"/>
    <w:basedOn w:val="Normal"/>
    <w:uiPriority w:val="1"/>
    <w:qFormat/>
    <w:rPr>
      <w:sz w:val="24"/>
      <w:szCs w:val="24"/>
    </w:rPr>
  </w:style>
  <w:style w:type="paragraph" w:styleId="Ttol">
    <w:name w:val="Title"/>
    <w:basedOn w:val="Normal"/>
    <w:uiPriority w:val="10"/>
    <w:qFormat/>
    <w:pPr>
      <w:ind w:left="101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Pargrafdellista">
    <w:name w:val="List Paragraph"/>
    <w:basedOn w:val="Normal"/>
    <w:uiPriority w:val="1"/>
    <w:qFormat/>
    <w:pPr>
      <w:spacing w:before="96"/>
      <w:ind w:left="821" w:right="108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417</Characters>
  <Application>Microsoft Office Word</Application>
  <DocSecurity>0</DocSecurity>
  <Lines>3</Lines>
  <Paragraphs>1</Paragraphs>
  <ScaleCrop>false</ScaleCrop>
  <Company>CTTI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ANNEX 7- Model d'oferta tècnica_1</dc:title>
  <dc:creator>40338309N</dc:creator>
  <cp:lastModifiedBy>Vilar Pont, Pere</cp:lastModifiedBy>
  <cp:revision>2</cp:revision>
  <dcterms:created xsi:type="dcterms:W3CDTF">2023-05-17T06:51:00Z</dcterms:created>
  <dcterms:modified xsi:type="dcterms:W3CDTF">2023-05-22T06:30:00Z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LastSaved">
    <vt:filetime>2023-05-17T00:00:00Z</vt:filetime>
  </property>
</Properties>
</file>