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5D007" w14:textId="6CE91735" w:rsidR="00B11165" w:rsidRPr="003612DD" w:rsidRDefault="00B63EE6" w:rsidP="00E625A7">
      <w:pPr>
        <w:pStyle w:val="Subttulo"/>
        <w:spacing w:before="3200" w:line="600" w:lineRule="exact"/>
        <w:jc w:val="left"/>
      </w:pPr>
      <w:r w:rsidRPr="00AD01D9">
        <w:rPr>
          <w:rFonts w:eastAsiaTheme="majorEastAsia" w:cstheme="majorBidi"/>
          <w:b/>
          <w:color w:val="2A7886"/>
          <w:sz w:val="36"/>
          <w:szCs w:val="52"/>
        </w:rPr>
        <w:t xml:space="preserve">Pliego de prescripciones técnicas de </w:t>
      </w:r>
      <w:bookmarkStart w:id="0" w:name="_Hlk64056827"/>
      <w:r w:rsidR="001A00FC" w:rsidRPr="003612DD">
        <w:rPr>
          <w:rStyle w:val="Textoennegrita"/>
          <w:color w:val="2A7886"/>
          <w:sz w:val="36"/>
          <w:szCs w:val="52"/>
        </w:rPr>
        <w:t>el Acuerdo Marco de homologación de proveedores de servicios relacionados con el cumplimiento del Esquema Nacional de Seguridad (ENS), la ISO27001, el Reglamento General de Protección de Datos (RGPD) y la Ley orgánica de protección de datos personales y garantía de los derechos digitales</w:t>
      </w:r>
      <w:bookmarkStart w:id="1" w:name="_Hlk54775762"/>
      <w:bookmarkEnd w:id="1"/>
    </w:p>
    <w:bookmarkEnd w:id="0"/>
    <w:p w14:paraId="3C8E7639" w14:textId="3854831B" w:rsidR="005A08CC" w:rsidRPr="003612DD" w:rsidRDefault="00F54F68" w:rsidP="003F40F8">
      <w:pPr>
        <w:pStyle w:val="Subttulo"/>
      </w:pPr>
      <w:r>
        <w:t>Barcelona, ​​3 de mayo de 2021</w:t>
      </w:r>
    </w:p>
    <w:p w14:paraId="405A42EC" w14:textId="77777777" w:rsidR="00CE009F" w:rsidRPr="003612DD" w:rsidRDefault="00CE009F" w:rsidP="0087786A">
      <w:r w:rsidRPr="003612DD">
        <w:br w:type="page"/>
      </w:r>
    </w:p>
    <w:tbl>
      <w:tblPr>
        <w:tblStyle w:val="Tablaconcuadrcula1"/>
        <w:tblW w:w="0" w:type="auto"/>
        <w:tblBorders>
          <w:top w:val="single" w:sz="8" w:space="0" w:color="2A7886"/>
          <w:left w:val="single" w:sz="8" w:space="0" w:color="2A7886"/>
          <w:bottom w:val="single" w:sz="8" w:space="0" w:color="2A7886"/>
          <w:right w:val="single" w:sz="8" w:space="0" w:color="2A7886"/>
          <w:insideH w:val="single" w:sz="4" w:space="0" w:color="2A7886"/>
          <w:insideV w:val="single" w:sz="4" w:space="0" w:color="2A7886"/>
        </w:tblBorders>
        <w:tblLook w:val="04A0" w:firstRow="1" w:lastRow="0" w:firstColumn="1" w:lastColumn="0" w:noHBand="0" w:noVBand="1"/>
      </w:tblPr>
      <w:tblGrid>
        <w:gridCol w:w="2975"/>
        <w:gridCol w:w="2976"/>
      </w:tblGrid>
      <w:tr w:rsidR="00462A54" w:rsidRPr="00462A54" w14:paraId="7D0E6796" w14:textId="77777777" w:rsidTr="00A924DF">
        <w:tc>
          <w:tcPr>
            <w:tcW w:w="2975" w:type="dxa"/>
          </w:tcPr>
          <w:p w14:paraId="0F540703" w14:textId="77777777" w:rsidR="00462A54" w:rsidRPr="00462A54" w:rsidRDefault="00462A54" w:rsidP="00462A54">
            <w:pPr>
              <w:spacing w:after="1800"/>
              <w:rPr>
                <w:rFonts w:ascii="Arial" w:hAnsi="Arial" w:cs="Arial"/>
                <w:sz w:val="20"/>
              </w:rPr>
            </w:pPr>
            <w:r w:rsidRPr="00462A54">
              <w:rPr>
                <w:rFonts w:ascii="Arial" w:hAnsi="Arial" w:cs="Arial"/>
                <w:sz w:val="20"/>
              </w:rPr>
              <w:lastRenderedPageBreak/>
              <w:t>Validado por,</w:t>
            </w:r>
          </w:p>
        </w:tc>
        <w:tc>
          <w:tcPr>
            <w:tcW w:w="2976" w:type="dxa"/>
          </w:tcPr>
          <w:p w14:paraId="2FA8E2B8" w14:textId="77777777" w:rsidR="00462A54" w:rsidRPr="00462A54" w:rsidRDefault="00462A54" w:rsidP="00462A54">
            <w:pPr>
              <w:rPr>
                <w:rFonts w:ascii="Arial" w:hAnsi="Arial" w:cs="Arial"/>
                <w:sz w:val="20"/>
              </w:rPr>
            </w:pPr>
            <w:r w:rsidRPr="00462A54">
              <w:rPr>
                <w:rFonts w:ascii="Arial" w:hAnsi="Arial" w:cs="Arial"/>
                <w:sz w:val="20"/>
              </w:rPr>
              <w:t>Aprobado por,</w:t>
            </w:r>
          </w:p>
        </w:tc>
      </w:tr>
    </w:tbl>
    <w:p w14:paraId="1BC2FC23" w14:textId="77777777" w:rsidR="00567AD7" w:rsidRPr="00567AD7" w:rsidRDefault="00567AD7" w:rsidP="00567AD7">
      <w:pPr>
        <w:spacing w:before="3900"/>
        <w:rPr>
          <w:rFonts w:eastAsia="Calibri" w:cs="Times New Roman"/>
          <w:lang w:val="es-ES"/>
        </w:rPr>
      </w:pPr>
    </w:p>
    <w:p w14:paraId="224F9DF6" w14:textId="4A4B0ED3" w:rsidR="00567AD7" w:rsidRDefault="00567AD7" w:rsidP="00567AD7">
      <w:pPr>
        <w:spacing w:before="3900"/>
        <w:rPr>
          <w:rFonts w:eastAsia="Calibri" w:cs="Times New Roman"/>
          <w:lang w:val="es-ES"/>
        </w:rPr>
      </w:pPr>
    </w:p>
    <w:p w14:paraId="3C849071" w14:textId="44A60615" w:rsidR="00567AD7" w:rsidRDefault="00567AD7" w:rsidP="00567AD7">
      <w:pPr>
        <w:spacing w:before="3900"/>
        <w:rPr>
          <w:rFonts w:eastAsia="Calibri" w:cs="Times New Roman"/>
          <w:lang w:val="es-ES"/>
        </w:rPr>
      </w:pPr>
    </w:p>
    <w:p w14:paraId="304434F6" w14:textId="43B09955" w:rsidR="00567AD7" w:rsidRDefault="00567AD7" w:rsidP="00567AD7">
      <w:pPr>
        <w:spacing w:before="3900"/>
        <w:rPr>
          <w:rFonts w:eastAsia="Calibri" w:cs="Times New Roman"/>
          <w:lang w:val="es-ES"/>
        </w:rPr>
      </w:pPr>
    </w:p>
    <w:tbl>
      <w:tblPr>
        <w:tblStyle w:val="Tablaconcuadrcula2"/>
        <w:tblW w:w="0" w:type="auto"/>
        <w:tblBorders>
          <w:top w:val="single" w:sz="8" w:space="0" w:color="2A7886"/>
          <w:left w:val="single" w:sz="8" w:space="0" w:color="2A7886"/>
          <w:bottom w:val="single" w:sz="8" w:space="0" w:color="2A7886"/>
          <w:right w:val="single" w:sz="8" w:space="0" w:color="2A7886"/>
          <w:insideH w:val="single" w:sz="4" w:space="0" w:color="2A7886"/>
          <w:insideV w:val="single" w:sz="4" w:space="0" w:color="2A7886"/>
        </w:tblBorders>
        <w:tblLook w:val="04A0" w:firstRow="1" w:lastRow="0" w:firstColumn="1" w:lastColumn="0" w:noHBand="0" w:noVBand="1"/>
      </w:tblPr>
      <w:tblGrid>
        <w:gridCol w:w="8767"/>
      </w:tblGrid>
      <w:tr w:rsidR="00567AD7" w:rsidRPr="00567AD7" w14:paraId="36972FFD" w14:textId="77777777" w:rsidTr="00567AD7">
        <w:tc>
          <w:tcPr>
            <w:tcW w:w="8767" w:type="dxa"/>
            <w:tcBorders>
              <w:top w:val="single" w:sz="8" w:space="0" w:color="2A7886"/>
              <w:left w:val="single" w:sz="8" w:space="0" w:color="2A7886"/>
              <w:bottom w:val="single" w:sz="8" w:space="0" w:color="2A7886"/>
              <w:right w:val="single" w:sz="8" w:space="0" w:color="2A7886"/>
            </w:tcBorders>
            <w:hideMark/>
          </w:tcPr>
          <w:p w14:paraId="636BB8A3" w14:textId="77777777" w:rsidR="00567AD7" w:rsidRPr="00567AD7" w:rsidRDefault="00567AD7" w:rsidP="00567AD7">
            <w:pPr>
              <w:jc w:val="center"/>
              <w:rPr>
                <w:rFonts w:ascii="Arial" w:eastAsia="Calibri" w:hAnsi="Arial" w:cs="Arial"/>
                <w:sz w:val="20"/>
              </w:rPr>
            </w:pPr>
            <w:r w:rsidRPr="00567AD7">
              <w:rPr>
                <w:rFonts w:ascii="Arial" w:eastAsia="Calibri" w:hAnsi="Arial" w:cs="Arial"/>
                <w:color w:val="FF0000"/>
              </w:rPr>
              <w:t>ADVERTENCIA Este documento es una traducción automática sin revisar y puede contener errores, por lo que no se garantiza su fidelidad respecto del original. El objetivo de esta traducción, que legalmente no tiene ninguna validez, es facilitar la comprensión. No sustituye, en ningún caso, el documento original al que acompaña, que es el único documento con carácter oficial.</w:t>
            </w:r>
          </w:p>
        </w:tc>
      </w:tr>
    </w:tbl>
    <w:p w14:paraId="0DDD2350" w14:textId="78EA4561" w:rsidR="00567AD7" w:rsidRDefault="00567AD7">
      <w:pPr>
        <w:spacing w:after="200" w:line="276" w:lineRule="auto"/>
        <w:jc w:val="left"/>
        <w:rPr>
          <w:rFonts w:ascii="Arial" w:hAnsi="Arial" w:cs="Arial"/>
          <w:lang w:val="es-ES"/>
        </w:rPr>
      </w:pPr>
    </w:p>
    <w:p w14:paraId="4E748A41" w14:textId="77777777" w:rsidR="00567AD7" w:rsidRDefault="00567AD7">
      <w:pPr>
        <w:spacing w:after="200" w:line="276" w:lineRule="auto"/>
        <w:jc w:val="left"/>
        <w:rPr>
          <w:rFonts w:ascii="Arial" w:hAnsi="Arial" w:cs="Arial"/>
          <w:lang w:val="es-ES"/>
        </w:rPr>
      </w:pPr>
      <w:r>
        <w:rPr>
          <w:rFonts w:ascii="Arial" w:hAnsi="Arial" w:cs="Arial"/>
          <w:lang w:val="es-ES"/>
        </w:rPr>
        <w:br w:type="page"/>
      </w:r>
    </w:p>
    <w:p w14:paraId="61C625E2" w14:textId="45BAD24E" w:rsidR="00CE009F" w:rsidRPr="003612DD" w:rsidRDefault="00CE009F" w:rsidP="00CE009F">
      <w:pPr>
        <w:pBdr>
          <w:bottom w:val="single" w:sz="4" w:space="9" w:color="2A7886"/>
        </w:pBdr>
        <w:jc w:val="left"/>
        <w:rPr>
          <w:rFonts w:ascii="Arial" w:hAnsi="Arial" w:cs="Arial"/>
        </w:rPr>
      </w:pPr>
      <w:r w:rsidRPr="003612DD">
        <w:rPr>
          <w:rFonts w:ascii="Arial" w:hAnsi="Arial" w:cs="Arial"/>
        </w:rPr>
        <w:lastRenderedPageBreak/>
        <w:t>sumario</w:t>
      </w:r>
    </w:p>
    <w:p w14:paraId="2F99EF8A" w14:textId="5A3005CE" w:rsidR="00D30CFB" w:rsidRDefault="00CE009F">
      <w:pPr>
        <w:pStyle w:val="TDC1"/>
        <w:tabs>
          <w:tab w:val="left" w:pos="567"/>
        </w:tabs>
        <w:rPr>
          <w:rFonts w:asciiTheme="minorHAnsi" w:eastAsiaTheme="minorEastAsia" w:hAnsiTheme="minorHAnsi"/>
          <w:noProof/>
          <w:sz w:val="22"/>
          <w:lang w:eastAsia="ca-ES"/>
        </w:rPr>
      </w:pPr>
      <w:r w:rsidRPr="003612DD">
        <w:rPr>
          <w:rFonts w:ascii="Arial" w:hAnsi="Arial" w:cs="Arial"/>
          <w:sz w:val="18"/>
          <w:szCs w:val="18"/>
        </w:rPr>
        <w:fldChar w:fldCharType="begin"/>
      </w:r>
      <w:r w:rsidRPr="003612DD">
        <w:rPr>
          <w:rFonts w:ascii="Arial" w:hAnsi="Arial" w:cs="Arial"/>
          <w:sz w:val="18"/>
          <w:szCs w:val="18"/>
        </w:rPr>
        <w:instrText xml:space="preserve"> TOC \o "1-2" \u </w:instrText>
      </w:r>
      <w:r w:rsidRPr="003612DD">
        <w:rPr>
          <w:rFonts w:ascii="Arial" w:hAnsi="Arial" w:cs="Arial"/>
          <w:sz w:val="18"/>
          <w:szCs w:val="18"/>
        </w:rPr>
        <w:fldChar w:fldCharType="separate"/>
      </w:r>
      <w:r w:rsidR="00D30CFB">
        <w:rPr>
          <w:noProof/>
        </w:rPr>
        <w:t>1.</w:t>
      </w:r>
      <w:r w:rsidR="00D30CFB">
        <w:rPr>
          <w:rFonts w:asciiTheme="minorHAnsi" w:eastAsiaTheme="minorEastAsia" w:hAnsiTheme="minorHAnsi"/>
          <w:noProof/>
          <w:sz w:val="22"/>
          <w:lang w:eastAsia="ca-ES"/>
        </w:rPr>
        <w:tab/>
      </w:r>
      <w:r w:rsidR="00D30CFB">
        <w:rPr>
          <w:noProof/>
        </w:rPr>
        <w:t>Contexto de la homologación</w:t>
      </w:r>
      <w:r w:rsidR="00D30CFB">
        <w:rPr>
          <w:noProof/>
        </w:rPr>
        <w:tab/>
      </w:r>
      <w:r w:rsidR="00D30CFB">
        <w:rPr>
          <w:noProof/>
        </w:rPr>
        <w:fldChar w:fldCharType="begin"/>
      </w:r>
      <w:r w:rsidR="00D30CFB">
        <w:rPr>
          <w:noProof/>
        </w:rPr>
        <w:instrText xml:space="preserve"> PAGEREF _Toc55920776 \h </w:instrText>
      </w:r>
      <w:r w:rsidR="00D30CFB">
        <w:rPr>
          <w:noProof/>
        </w:rPr>
      </w:r>
      <w:r w:rsidR="00D30CFB">
        <w:rPr>
          <w:noProof/>
        </w:rPr>
        <w:fldChar w:fldCharType="separate"/>
      </w:r>
      <w:r w:rsidR="00D30CFB">
        <w:rPr>
          <w:noProof/>
        </w:rPr>
        <w:t>5</w:t>
      </w:r>
      <w:r w:rsidR="00D30CFB">
        <w:rPr>
          <w:noProof/>
        </w:rPr>
        <w:fldChar w:fldCharType="end"/>
      </w:r>
    </w:p>
    <w:p w14:paraId="3F875115" w14:textId="3B46CC0E" w:rsidR="00D30CFB" w:rsidRDefault="00D30CFB">
      <w:pPr>
        <w:pStyle w:val="TDC2"/>
        <w:rPr>
          <w:rFonts w:asciiTheme="minorHAnsi" w:eastAsiaTheme="minorEastAsia" w:hAnsiTheme="minorHAnsi"/>
          <w:noProof/>
          <w:sz w:val="22"/>
          <w:lang w:eastAsia="ca-ES"/>
        </w:rPr>
      </w:pPr>
      <w:r>
        <w:rPr>
          <w:noProof/>
        </w:rPr>
        <w:t>1.1 Marco de decisión de las entidades participantes</w:t>
      </w:r>
      <w:r>
        <w:rPr>
          <w:noProof/>
        </w:rPr>
        <w:tab/>
      </w:r>
      <w:r>
        <w:rPr>
          <w:noProof/>
        </w:rPr>
        <w:fldChar w:fldCharType="begin"/>
      </w:r>
      <w:r>
        <w:rPr>
          <w:noProof/>
        </w:rPr>
        <w:instrText xml:space="preserve"> PAGEREF _Toc55920777 \h </w:instrText>
      </w:r>
      <w:r>
        <w:rPr>
          <w:noProof/>
        </w:rPr>
      </w:r>
      <w:r>
        <w:rPr>
          <w:noProof/>
        </w:rPr>
        <w:fldChar w:fldCharType="separate"/>
      </w:r>
      <w:r>
        <w:rPr>
          <w:noProof/>
        </w:rPr>
        <w:t>5</w:t>
      </w:r>
      <w:r>
        <w:rPr>
          <w:noProof/>
        </w:rPr>
        <w:fldChar w:fldCharType="end"/>
      </w:r>
    </w:p>
    <w:p w14:paraId="453E6533" w14:textId="5298E585" w:rsidR="00D30CFB" w:rsidRDefault="00D30CFB">
      <w:pPr>
        <w:pStyle w:val="TDC2"/>
        <w:rPr>
          <w:rFonts w:asciiTheme="minorHAnsi" w:eastAsiaTheme="minorEastAsia" w:hAnsiTheme="minorHAnsi"/>
          <w:noProof/>
          <w:sz w:val="22"/>
          <w:lang w:eastAsia="ca-ES"/>
        </w:rPr>
      </w:pPr>
      <w:r>
        <w:rPr>
          <w:noProof/>
        </w:rPr>
        <w:t>1.2 Objeto del proceso de homologación</w:t>
      </w:r>
      <w:r>
        <w:rPr>
          <w:noProof/>
        </w:rPr>
        <w:tab/>
      </w:r>
      <w:r>
        <w:rPr>
          <w:noProof/>
        </w:rPr>
        <w:fldChar w:fldCharType="begin"/>
      </w:r>
      <w:r>
        <w:rPr>
          <w:noProof/>
        </w:rPr>
        <w:instrText xml:space="preserve"> PAGEREF _Toc55920778 \h </w:instrText>
      </w:r>
      <w:r>
        <w:rPr>
          <w:noProof/>
        </w:rPr>
      </w:r>
      <w:r>
        <w:rPr>
          <w:noProof/>
        </w:rPr>
        <w:fldChar w:fldCharType="separate"/>
      </w:r>
      <w:r>
        <w:rPr>
          <w:noProof/>
        </w:rPr>
        <w:t>5</w:t>
      </w:r>
      <w:r>
        <w:rPr>
          <w:noProof/>
        </w:rPr>
        <w:fldChar w:fldCharType="end"/>
      </w:r>
    </w:p>
    <w:p w14:paraId="05BD35D0" w14:textId="1BF1DE0B" w:rsidR="00D30CFB" w:rsidRDefault="00D30CFB">
      <w:pPr>
        <w:pStyle w:val="TDC2"/>
        <w:rPr>
          <w:rFonts w:asciiTheme="minorHAnsi" w:eastAsiaTheme="minorEastAsia" w:hAnsiTheme="minorHAnsi"/>
          <w:noProof/>
          <w:sz w:val="22"/>
          <w:lang w:eastAsia="ca-ES"/>
        </w:rPr>
      </w:pPr>
      <w:r>
        <w:rPr>
          <w:noProof/>
        </w:rPr>
        <w:t>1.3 Homologación por Lotes y contratos basados</w:t>
      </w:r>
      <w:r>
        <w:rPr>
          <w:noProof/>
        </w:rPr>
        <w:tab/>
      </w:r>
      <w:r>
        <w:rPr>
          <w:noProof/>
        </w:rPr>
        <w:fldChar w:fldCharType="begin"/>
      </w:r>
      <w:r>
        <w:rPr>
          <w:noProof/>
        </w:rPr>
        <w:instrText xml:space="preserve"> PAGEREF _Toc55920779 \h </w:instrText>
      </w:r>
      <w:r>
        <w:rPr>
          <w:noProof/>
        </w:rPr>
      </w:r>
      <w:r>
        <w:rPr>
          <w:noProof/>
        </w:rPr>
        <w:fldChar w:fldCharType="separate"/>
      </w:r>
      <w:r>
        <w:rPr>
          <w:noProof/>
        </w:rPr>
        <w:t>6</w:t>
      </w:r>
      <w:r>
        <w:rPr>
          <w:noProof/>
        </w:rPr>
        <w:fldChar w:fldCharType="end"/>
      </w:r>
    </w:p>
    <w:p w14:paraId="46C62FB3" w14:textId="56F3B6AA" w:rsidR="00D30CFB" w:rsidRDefault="00D30CFB">
      <w:pPr>
        <w:pStyle w:val="TDC1"/>
        <w:tabs>
          <w:tab w:val="left" w:pos="567"/>
        </w:tabs>
        <w:rPr>
          <w:rFonts w:asciiTheme="minorHAnsi" w:eastAsiaTheme="minorEastAsia" w:hAnsiTheme="minorHAnsi"/>
          <w:noProof/>
          <w:sz w:val="22"/>
          <w:lang w:eastAsia="ca-ES"/>
        </w:rPr>
      </w:pPr>
      <w:r w:rsidRPr="00197274">
        <w:rPr>
          <w:rFonts w:cs="Arial"/>
          <w:noProof/>
        </w:rPr>
        <w:t>2.</w:t>
      </w:r>
      <w:r>
        <w:rPr>
          <w:rFonts w:asciiTheme="minorHAnsi" w:eastAsiaTheme="minorEastAsia" w:hAnsiTheme="minorHAnsi"/>
          <w:noProof/>
          <w:sz w:val="22"/>
          <w:lang w:eastAsia="ca-ES"/>
        </w:rPr>
        <w:tab/>
      </w:r>
      <w:r w:rsidRPr="00197274">
        <w:rPr>
          <w:rFonts w:cs="Arial"/>
          <w:noProof/>
        </w:rPr>
        <w:t>Requisitos generales de la licitación</w:t>
      </w:r>
      <w:r>
        <w:rPr>
          <w:noProof/>
        </w:rPr>
        <w:tab/>
      </w:r>
      <w:r>
        <w:rPr>
          <w:noProof/>
        </w:rPr>
        <w:fldChar w:fldCharType="begin"/>
      </w:r>
      <w:r>
        <w:rPr>
          <w:noProof/>
        </w:rPr>
        <w:instrText xml:space="preserve"> PAGEREF _Toc55920780 \h </w:instrText>
      </w:r>
      <w:r>
        <w:rPr>
          <w:noProof/>
        </w:rPr>
      </w:r>
      <w:r>
        <w:rPr>
          <w:noProof/>
        </w:rPr>
        <w:fldChar w:fldCharType="separate"/>
      </w:r>
      <w:r>
        <w:rPr>
          <w:noProof/>
        </w:rPr>
        <w:t>6</w:t>
      </w:r>
      <w:r>
        <w:rPr>
          <w:noProof/>
        </w:rPr>
        <w:fldChar w:fldCharType="end"/>
      </w:r>
    </w:p>
    <w:p w14:paraId="3C20B647" w14:textId="6F1507DF" w:rsidR="00D30CFB" w:rsidRDefault="00D30CFB">
      <w:pPr>
        <w:pStyle w:val="TDC2"/>
        <w:rPr>
          <w:rFonts w:asciiTheme="minorHAnsi" w:eastAsiaTheme="minorEastAsia" w:hAnsiTheme="minorHAnsi"/>
          <w:noProof/>
          <w:sz w:val="22"/>
          <w:lang w:eastAsia="ca-ES"/>
        </w:rPr>
      </w:pPr>
      <w:r>
        <w:rPr>
          <w:noProof/>
        </w:rPr>
        <w:t>2.1 Certificaciones y homologaciones</w:t>
      </w:r>
      <w:r>
        <w:rPr>
          <w:noProof/>
        </w:rPr>
        <w:tab/>
      </w:r>
      <w:r>
        <w:rPr>
          <w:noProof/>
        </w:rPr>
        <w:fldChar w:fldCharType="begin"/>
      </w:r>
      <w:r>
        <w:rPr>
          <w:noProof/>
        </w:rPr>
        <w:instrText xml:space="preserve"> PAGEREF _Toc55920781 \h </w:instrText>
      </w:r>
      <w:r>
        <w:rPr>
          <w:noProof/>
        </w:rPr>
      </w:r>
      <w:r>
        <w:rPr>
          <w:noProof/>
        </w:rPr>
        <w:fldChar w:fldCharType="separate"/>
      </w:r>
      <w:r>
        <w:rPr>
          <w:noProof/>
        </w:rPr>
        <w:t>6</w:t>
      </w:r>
      <w:r>
        <w:rPr>
          <w:noProof/>
        </w:rPr>
        <w:fldChar w:fldCharType="end"/>
      </w:r>
    </w:p>
    <w:p w14:paraId="4DFD89E0" w14:textId="10F28C2D" w:rsidR="00D30CFB" w:rsidRDefault="00D30CFB">
      <w:pPr>
        <w:pStyle w:val="TDC2"/>
        <w:rPr>
          <w:rFonts w:asciiTheme="minorHAnsi" w:eastAsiaTheme="minorEastAsia" w:hAnsiTheme="minorHAnsi"/>
          <w:noProof/>
          <w:sz w:val="22"/>
          <w:lang w:eastAsia="ca-ES"/>
        </w:rPr>
      </w:pPr>
      <w:r>
        <w:rPr>
          <w:noProof/>
        </w:rPr>
        <w:t>2.2 Actualización de la oferta</w:t>
      </w:r>
      <w:r>
        <w:rPr>
          <w:noProof/>
        </w:rPr>
        <w:tab/>
      </w:r>
      <w:r>
        <w:rPr>
          <w:noProof/>
        </w:rPr>
        <w:fldChar w:fldCharType="begin"/>
      </w:r>
      <w:r>
        <w:rPr>
          <w:noProof/>
        </w:rPr>
        <w:instrText xml:space="preserve"> PAGEREF _Toc55920782 \h </w:instrText>
      </w:r>
      <w:r>
        <w:rPr>
          <w:noProof/>
        </w:rPr>
      </w:r>
      <w:r>
        <w:rPr>
          <w:noProof/>
        </w:rPr>
        <w:fldChar w:fldCharType="separate"/>
      </w:r>
      <w:r>
        <w:rPr>
          <w:noProof/>
        </w:rPr>
        <w:t>7</w:t>
      </w:r>
      <w:r>
        <w:rPr>
          <w:noProof/>
        </w:rPr>
        <w:fldChar w:fldCharType="end"/>
      </w:r>
    </w:p>
    <w:p w14:paraId="129F262D" w14:textId="468421C2" w:rsidR="00D30CFB" w:rsidRDefault="00D30CFB">
      <w:pPr>
        <w:pStyle w:val="TDC2"/>
        <w:rPr>
          <w:rFonts w:asciiTheme="minorHAnsi" w:eastAsiaTheme="minorEastAsia" w:hAnsiTheme="minorHAnsi"/>
          <w:noProof/>
          <w:sz w:val="22"/>
          <w:lang w:eastAsia="ca-ES"/>
        </w:rPr>
      </w:pPr>
      <w:r>
        <w:rPr>
          <w:noProof/>
        </w:rPr>
        <w:t>2.3 Contratación por parte de los organismos participantes fuera de este acuerdo marco</w:t>
      </w:r>
      <w:r>
        <w:rPr>
          <w:noProof/>
        </w:rPr>
        <w:tab/>
      </w:r>
      <w:r>
        <w:rPr>
          <w:noProof/>
        </w:rPr>
        <w:fldChar w:fldCharType="begin"/>
      </w:r>
      <w:r>
        <w:rPr>
          <w:noProof/>
        </w:rPr>
        <w:instrText xml:space="preserve"> PAGEREF _Toc55920783 \h </w:instrText>
      </w:r>
      <w:r>
        <w:rPr>
          <w:noProof/>
        </w:rPr>
      </w:r>
      <w:r>
        <w:rPr>
          <w:noProof/>
        </w:rPr>
        <w:fldChar w:fldCharType="separate"/>
      </w:r>
      <w:r>
        <w:rPr>
          <w:noProof/>
        </w:rPr>
        <w:t>7</w:t>
      </w:r>
      <w:r>
        <w:rPr>
          <w:noProof/>
        </w:rPr>
        <w:fldChar w:fldCharType="end"/>
      </w:r>
    </w:p>
    <w:p w14:paraId="7E8850FA" w14:textId="716FB584" w:rsidR="00D30CFB" w:rsidRDefault="00D30CFB">
      <w:pPr>
        <w:pStyle w:val="TDC2"/>
        <w:rPr>
          <w:rFonts w:asciiTheme="minorHAnsi" w:eastAsiaTheme="minorEastAsia" w:hAnsiTheme="minorHAnsi"/>
          <w:noProof/>
          <w:sz w:val="22"/>
          <w:lang w:eastAsia="ca-ES"/>
        </w:rPr>
      </w:pPr>
      <w:r>
        <w:rPr>
          <w:noProof/>
        </w:rPr>
        <w:t>2.4 Roles</w:t>
      </w:r>
      <w:r>
        <w:rPr>
          <w:noProof/>
        </w:rPr>
        <w:tab/>
      </w:r>
      <w:r>
        <w:rPr>
          <w:noProof/>
        </w:rPr>
        <w:fldChar w:fldCharType="begin"/>
      </w:r>
      <w:r>
        <w:rPr>
          <w:noProof/>
        </w:rPr>
        <w:instrText xml:space="preserve"> PAGEREF _Toc55920784 \h </w:instrText>
      </w:r>
      <w:r>
        <w:rPr>
          <w:noProof/>
        </w:rPr>
      </w:r>
      <w:r>
        <w:rPr>
          <w:noProof/>
        </w:rPr>
        <w:fldChar w:fldCharType="separate"/>
      </w:r>
      <w:r>
        <w:rPr>
          <w:noProof/>
        </w:rPr>
        <w:t>7</w:t>
      </w:r>
      <w:r>
        <w:rPr>
          <w:noProof/>
        </w:rPr>
        <w:fldChar w:fldCharType="end"/>
      </w:r>
    </w:p>
    <w:p w14:paraId="4E9795B5" w14:textId="02485F57" w:rsidR="00D30CFB" w:rsidRDefault="00D30CFB">
      <w:pPr>
        <w:pStyle w:val="TDC2"/>
        <w:rPr>
          <w:rFonts w:asciiTheme="minorHAnsi" w:eastAsiaTheme="minorEastAsia" w:hAnsiTheme="minorHAnsi"/>
          <w:noProof/>
          <w:sz w:val="22"/>
          <w:lang w:eastAsia="ca-ES"/>
        </w:rPr>
      </w:pPr>
      <w:r>
        <w:rPr>
          <w:noProof/>
        </w:rPr>
        <w:t>2.5 Perfiles con los que se concurre a la licitación y calidad de los servicios prestados</w:t>
      </w:r>
      <w:r>
        <w:rPr>
          <w:noProof/>
        </w:rPr>
        <w:tab/>
      </w:r>
      <w:r>
        <w:rPr>
          <w:noProof/>
        </w:rPr>
        <w:fldChar w:fldCharType="begin"/>
      </w:r>
      <w:r>
        <w:rPr>
          <w:noProof/>
        </w:rPr>
        <w:instrText xml:space="preserve"> PAGEREF _Toc55920785 \h </w:instrText>
      </w:r>
      <w:r>
        <w:rPr>
          <w:noProof/>
        </w:rPr>
      </w:r>
      <w:r>
        <w:rPr>
          <w:noProof/>
        </w:rPr>
        <w:fldChar w:fldCharType="separate"/>
      </w:r>
      <w:r>
        <w:rPr>
          <w:noProof/>
        </w:rPr>
        <w:t>8</w:t>
      </w:r>
      <w:r>
        <w:rPr>
          <w:noProof/>
        </w:rPr>
        <w:fldChar w:fldCharType="end"/>
      </w:r>
    </w:p>
    <w:p w14:paraId="28572995" w14:textId="7F7F0347" w:rsidR="00D30CFB" w:rsidRDefault="00D30CFB">
      <w:pPr>
        <w:pStyle w:val="TDC1"/>
        <w:tabs>
          <w:tab w:val="left" w:pos="567"/>
        </w:tabs>
        <w:rPr>
          <w:rFonts w:asciiTheme="minorHAnsi" w:eastAsiaTheme="minorEastAsia" w:hAnsiTheme="minorHAnsi"/>
          <w:noProof/>
          <w:sz w:val="22"/>
          <w:lang w:eastAsia="ca-ES"/>
        </w:rPr>
      </w:pPr>
      <w:r>
        <w:rPr>
          <w:noProof/>
        </w:rPr>
        <w:t>3.</w:t>
      </w:r>
      <w:r>
        <w:rPr>
          <w:rFonts w:asciiTheme="minorHAnsi" w:eastAsiaTheme="minorEastAsia" w:hAnsiTheme="minorHAnsi"/>
          <w:noProof/>
          <w:sz w:val="22"/>
          <w:lang w:eastAsia="ca-ES"/>
        </w:rPr>
        <w:tab/>
      </w:r>
      <w:r>
        <w:rPr>
          <w:noProof/>
        </w:rPr>
        <w:t>LOTE 1: Servicios dentro del ámbito de la ENS y la ISO 27001</w:t>
      </w:r>
      <w:r>
        <w:rPr>
          <w:noProof/>
        </w:rPr>
        <w:tab/>
      </w:r>
      <w:r>
        <w:rPr>
          <w:noProof/>
        </w:rPr>
        <w:fldChar w:fldCharType="begin"/>
      </w:r>
      <w:r>
        <w:rPr>
          <w:noProof/>
        </w:rPr>
        <w:instrText xml:space="preserve"> PAGEREF _Toc55920786 \h </w:instrText>
      </w:r>
      <w:r>
        <w:rPr>
          <w:noProof/>
        </w:rPr>
      </w:r>
      <w:r>
        <w:rPr>
          <w:noProof/>
        </w:rPr>
        <w:fldChar w:fldCharType="separate"/>
      </w:r>
      <w:r>
        <w:rPr>
          <w:noProof/>
        </w:rPr>
        <w:t>8</w:t>
      </w:r>
      <w:r>
        <w:rPr>
          <w:noProof/>
        </w:rPr>
        <w:fldChar w:fldCharType="end"/>
      </w:r>
    </w:p>
    <w:p w14:paraId="32E2F107" w14:textId="2ACA8DAB" w:rsidR="00D30CFB" w:rsidRDefault="00D30CFB">
      <w:pPr>
        <w:pStyle w:val="TDC2"/>
        <w:rPr>
          <w:rFonts w:asciiTheme="minorHAnsi" w:eastAsiaTheme="minorEastAsia" w:hAnsiTheme="minorHAnsi"/>
          <w:noProof/>
          <w:sz w:val="22"/>
          <w:lang w:eastAsia="ca-ES"/>
        </w:rPr>
      </w:pPr>
      <w:r>
        <w:rPr>
          <w:noProof/>
        </w:rPr>
        <w:t>3.1 Relación de servicios y requisitos dentro del ámbito de la ENS</w:t>
      </w:r>
      <w:r>
        <w:rPr>
          <w:noProof/>
        </w:rPr>
        <w:tab/>
      </w:r>
      <w:r>
        <w:rPr>
          <w:noProof/>
        </w:rPr>
        <w:fldChar w:fldCharType="begin"/>
      </w:r>
      <w:r>
        <w:rPr>
          <w:noProof/>
        </w:rPr>
        <w:instrText xml:space="preserve"> PAGEREF _Toc55920787 \h </w:instrText>
      </w:r>
      <w:r>
        <w:rPr>
          <w:noProof/>
        </w:rPr>
      </w:r>
      <w:r>
        <w:rPr>
          <w:noProof/>
        </w:rPr>
        <w:fldChar w:fldCharType="separate"/>
      </w:r>
      <w:r>
        <w:rPr>
          <w:noProof/>
        </w:rPr>
        <w:t>8</w:t>
      </w:r>
      <w:r>
        <w:rPr>
          <w:noProof/>
        </w:rPr>
        <w:fldChar w:fldCharType="end"/>
      </w:r>
    </w:p>
    <w:p w14:paraId="4745605A" w14:textId="3CA06395" w:rsidR="00D30CFB" w:rsidRDefault="00D30CFB">
      <w:pPr>
        <w:pStyle w:val="TDC2"/>
        <w:rPr>
          <w:rFonts w:asciiTheme="minorHAnsi" w:eastAsiaTheme="minorEastAsia" w:hAnsiTheme="minorHAnsi"/>
          <w:noProof/>
          <w:sz w:val="22"/>
          <w:lang w:eastAsia="ca-ES"/>
        </w:rPr>
      </w:pPr>
      <w:r>
        <w:rPr>
          <w:noProof/>
        </w:rPr>
        <w:t>3.2 Relación de servicios y requisitos dentro del ámbito de la ISO27001</w:t>
      </w:r>
      <w:r>
        <w:rPr>
          <w:noProof/>
        </w:rPr>
        <w:tab/>
      </w:r>
      <w:r>
        <w:rPr>
          <w:noProof/>
        </w:rPr>
        <w:fldChar w:fldCharType="begin"/>
      </w:r>
      <w:r>
        <w:rPr>
          <w:noProof/>
        </w:rPr>
        <w:instrText xml:space="preserve"> PAGEREF _Toc55920788 \h </w:instrText>
      </w:r>
      <w:r>
        <w:rPr>
          <w:noProof/>
        </w:rPr>
      </w:r>
      <w:r>
        <w:rPr>
          <w:noProof/>
        </w:rPr>
        <w:fldChar w:fldCharType="separate"/>
      </w:r>
      <w:r>
        <w:rPr>
          <w:noProof/>
        </w:rPr>
        <w:t>11</w:t>
      </w:r>
      <w:r>
        <w:rPr>
          <w:noProof/>
        </w:rPr>
        <w:fldChar w:fldCharType="end"/>
      </w:r>
    </w:p>
    <w:p w14:paraId="4B8E291F" w14:textId="10015ACC" w:rsidR="00D30CFB" w:rsidRDefault="00D30CFB">
      <w:pPr>
        <w:pStyle w:val="TDC2"/>
        <w:rPr>
          <w:rFonts w:asciiTheme="minorHAnsi" w:eastAsiaTheme="minorEastAsia" w:hAnsiTheme="minorHAnsi"/>
          <w:noProof/>
          <w:sz w:val="22"/>
          <w:lang w:eastAsia="ca-ES"/>
        </w:rPr>
      </w:pPr>
      <w:r>
        <w:rPr>
          <w:noProof/>
        </w:rPr>
        <w:t>3.3 Relación de otros servicios comunes</w:t>
      </w:r>
      <w:r>
        <w:rPr>
          <w:noProof/>
        </w:rPr>
        <w:tab/>
      </w:r>
      <w:r>
        <w:rPr>
          <w:noProof/>
        </w:rPr>
        <w:fldChar w:fldCharType="begin"/>
      </w:r>
      <w:r>
        <w:rPr>
          <w:noProof/>
        </w:rPr>
        <w:instrText xml:space="preserve"> PAGEREF _Toc55920789 \h </w:instrText>
      </w:r>
      <w:r>
        <w:rPr>
          <w:noProof/>
        </w:rPr>
      </w:r>
      <w:r>
        <w:rPr>
          <w:noProof/>
        </w:rPr>
        <w:fldChar w:fldCharType="separate"/>
      </w:r>
      <w:r>
        <w:rPr>
          <w:noProof/>
        </w:rPr>
        <w:t>12</w:t>
      </w:r>
      <w:r>
        <w:rPr>
          <w:noProof/>
        </w:rPr>
        <w:fldChar w:fldCharType="end"/>
      </w:r>
    </w:p>
    <w:p w14:paraId="27CC6E98" w14:textId="4CC578E4" w:rsidR="00D30CFB" w:rsidRDefault="00D30CFB">
      <w:pPr>
        <w:pStyle w:val="TDC1"/>
        <w:tabs>
          <w:tab w:val="left" w:pos="567"/>
        </w:tabs>
        <w:rPr>
          <w:rFonts w:asciiTheme="minorHAnsi" w:eastAsiaTheme="minorEastAsia" w:hAnsiTheme="minorHAnsi"/>
          <w:noProof/>
          <w:sz w:val="22"/>
          <w:lang w:eastAsia="ca-ES"/>
        </w:rPr>
      </w:pPr>
      <w:r>
        <w:rPr>
          <w:noProof/>
        </w:rPr>
        <w:t>4.</w:t>
      </w:r>
      <w:r>
        <w:rPr>
          <w:rFonts w:asciiTheme="minorHAnsi" w:eastAsiaTheme="minorEastAsia" w:hAnsiTheme="minorHAnsi"/>
          <w:noProof/>
          <w:sz w:val="22"/>
          <w:lang w:eastAsia="ca-ES"/>
        </w:rPr>
        <w:tab/>
      </w:r>
      <w:r>
        <w:rPr>
          <w:noProof/>
        </w:rPr>
        <w:t>LOTE 2. Servicios de Protección de Datos</w:t>
      </w:r>
      <w:r>
        <w:rPr>
          <w:noProof/>
        </w:rPr>
        <w:tab/>
      </w:r>
      <w:r>
        <w:rPr>
          <w:noProof/>
        </w:rPr>
        <w:fldChar w:fldCharType="begin"/>
      </w:r>
      <w:r>
        <w:rPr>
          <w:noProof/>
        </w:rPr>
        <w:instrText xml:space="preserve"> PAGEREF _Toc55920790 \h </w:instrText>
      </w:r>
      <w:r>
        <w:rPr>
          <w:noProof/>
        </w:rPr>
      </w:r>
      <w:r>
        <w:rPr>
          <w:noProof/>
        </w:rPr>
        <w:fldChar w:fldCharType="separate"/>
      </w:r>
      <w:r>
        <w:rPr>
          <w:noProof/>
        </w:rPr>
        <w:t>12</w:t>
      </w:r>
      <w:r>
        <w:rPr>
          <w:noProof/>
        </w:rPr>
        <w:fldChar w:fldCharType="end"/>
      </w:r>
    </w:p>
    <w:p w14:paraId="68BB7902" w14:textId="79CA0F43" w:rsidR="00D30CFB" w:rsidRDefault="00D30CFB">
      <w:pPr>
        <w:pStyle w:val="TDC2"/>
        <w:rPr>
          <w:rFonts w:asciiTheme="minorHAnsi" w:eastAsiaTheme="minorEastAsia" w:hAnsiTheme="minorHAnsi"/>
          <w:noProof/>
          <w:sz w:val="22"/>
          <w:lang w:eastAsia="ca-ES"/>
        </w:rPr>
      </w:pPr>
      <w:r>
        <w:rPr>
          <w:noProof/>
        </w:rPr>
        <w:t>4.1 Relación de servicios y requisitos</w:t>
      </w:r>
      <w:r>
        <w:rPr>
          <w:noProof/>
        </w:rPr>
        <w:tab/>
      </w:r>
      <w:r>
        <w:rPr>
          <w:noProof/>
        </w:rPr>
        <w:fldChar w:fldCharType="begin"/>
      </w:r>
      <w:r>
        <w:rPr>
          <w:noProof/>
        </w:rPr>
        <w:instrText xml:space="preserve"> PAGEREF _Toc55920791 \h </w:instrText>
      </w:r>
      <w:r>
        <w:rPr>
          <w:noProof/>
        </w:rPr>
      </w:r>
      <w:r>
        <w:rPr>
          <w:noProof/>
        </w:rPr>
        <w:fldChar w:fldCharType="separate"/>
      </w:r>
      <w:r>
        <w:rPr>
          <w:noProof/>
        </w:rPr>
        <w:t>12</w:t>
      </w:r>
      <w:r>
        <w:rPr>
          <w:noProof/>
        </w:rPr>
        <w:fldChar w:fldCharType="end"/>
      </w:r>
    </w:p>
    <w:p w14:paraId="7B1E3FFA" w14:textId="65A71E96" w:rsidR="00D30CFB" w:rsidRDefault="00D30CFB">
      <w:pPr>
        <w:pStyle w:val="TDC1"/>
        <w:tabs>
          <w:tab w:val="left" w:pos="567"/>
        </w:tabs>
        <w:rPr>
          <w:rFonts w:asciiTheme="minorHAnsi" w:eastAsiaTheme="minorEastAsia" w:hAnsiTheme="minorHAnsi"/>
          <w:noProof/>
          <w:sz w:val="22"/>
          <w:lang w:eastAsia="ca-ES"/>
        </w:rPr>
      </w:pPr>
      <w:r>
        <w:rPr>
          <w:noProof/>
        </w:rPr>
        <w:t>5.</w:t>
      </w:r>
      <w:r>
        <w:rPr>
          <w:rFonts w:asciiTheme="minorHAnsi" w:eastAsiaTheme="minorEastAsia" w:hAnsiTheme="minorHAnsi"/>
          <w:noProof/>
          <w:sz w:val="22"/>
          <w:lang w:eastAsia="ca-ES"/>
        </w:rPr>
        <w:tab/>
      </w:r>
      <w:r>
        <w:rPr>
          <w:noProof/>
        </w:rPr>
        <w:t>LOTE 3: Servicios profesionales en horas en protección de datos</w:t>
      </w:r>
      <w:r>
        <w:rPr>
          <w:noProof/>
        </w:rPr>
        <w:tab/>
      </w:r>
      <w:r>
        <w:rPr>
          <w:noProof/>
        </w:rPr>
        <w:fldChar w:fldCharType="begin"/>
      </w:r>
      <w:r>
        <w:rPr>
          <w:noProof/>
        </w:rPr>
        <w:instrText xml:space="preserve"> PAGEREF _Toc55920792 \h </w:instrText>
      </w:r>
      <w:r>
        <w:rPr>
          <w:noProof/>
        </w:rPr>
      </w:r>
      <w:r>
        <w:rPr>
          <w:noProof/>
        </w:rPr>
        <w:fldChar w:fldCharType="separate"/>
      </w:r>
      <w:r>
        <w:rPr>
          <w:noProof/>
        </w:rPr>
        <w:t>15</w:t>
      </w:r>
      <w:r>
        <w:rPr>
          <w:noProof/>
        </w:rPr>
        <w:fldChar w:fldCharType="end"/>
      </w:r>
    </w:p>
    <w:p w14:paraId="52895C7F" w14:textId="5C05A878" w:rsidR="00D30CFB" w:rsidRDefault="00D30CFB">
      <w:pPr>
        <w:pStyle w:val="TDC2"/>
        <w:rPr>
          <w:rFonts w:asciiTheme="minorHAnsi" w:eastAsiaTheme="minorEastAsia" w:hAnsiTheme="minorHAnsi"/>
          <w:noProof/>
          <w:sz w:val="22"/>
          <w:lang w:eastAsia="ca-ES"/>
        </w:rPr>
      </w:pPr>
      <w:r>
        <w:rPr>
          <w:noProof/>
        </w:rPr>
        <w:t>5.1 Requisitos</w:t>
      </w:r>
      <w:r>
        <w:rPr>
          <w:noProof/>
        </w:rPr>
        <w:tab/>
      </w:r>
      <w:r>
        <w:rPr>
          <w:noProof/>
        </w:rPr>
        <w:fldChar w:fldCharType="begin"/>
      </w:r>
      <w:r>
        <w:rPr>
          <w:noProof/>
        </w:rPr>
        <w:instrText xml:space="preserve"> PAGEREF _Toc55920793 \h </w:instrText>
      </w:r>
      <w:r>
        <w:rPr>
          <w:noProof/>
        </w:rPr>
      </w:r>
      <w:r>
        <w:rPr>
          <w:noProof/>
        </w:rPr>
        <w:fldChar w:fldCharType="separate"/>
      </w:r>
      <w:r>
        <w:rPr>
          <w:noProof/>
        </w:rPr>
        <w:t>15</w:t>
      </w:r>
      <w:r>
        <w:rPr>
          <w:noProof/>
        </w:rPr>
        <w:fldChar w:fldCharType="end"/>
      </w:r>
    </w:p>
    <w:p w14:paraId="7AAE4595" w14:textId="7A09AC36" w:rsidR="00D30CFB" w:rsidRDefault="00D30CFB">
      <w:pPr>
        <w:pStyle w:val="TDC1"/>
        <w:tabs>
          <w:tab w:val="left" w:pos="567"/>
        </w:tabs>
        <w:rPr>
          <w:rFonts w:asciiTheme="minorHAnsi" w:eastAsiaTheme="minorEastAsia" w:hAnsiTheme="minorHAnsi"/>
          <w:noProof/>
          <w:sz w:val="22"/>
          <w:lang w:eastAsia="ca-ES"/>
        </w:rPr>
      </w:pPr>
      <w:r>
        <w:rPr>
          <w:noProof/>
        </w:rPr>
        <w:t>6.</w:t>
      </w:r>
      <w:r>
        <w:rPr>
          <w:rFonts w:asciiTheme="minorHAnsi" w:eastAsiaTheme="minorEastAsia" w:hAnsiTheme="minorHAnsi"/>
          <w:noProof/>
          <w:sz w:val="22"/>
          <w:lang w:eastAsia="ca-ES"/>
        </w:rPr>
        <w:tab/>
      </w:r>
      <w:r>
        <w:rPr>
          <w:noProof/>
        </w:rPr>
        <w:t>LOTE 4: Oficina técnica de apoyo al DPD</w:t>
      </w:r>
      <w:r>
        <w:rPr>
          <w:noProof/>
        </w:rPr>
        <w:tab/>
      </w:r>
      <w:r>
        <w:rPr>
          <w:noProof/>
        </w:rPr>
        <w:fldChar w:fldCharType="begin"/>
      </w:r>
      <w:r>
        <w:rPr>
          <w:noProof/>
        </w:rPr>
        <w:instrText xml:space="preserve"> PAGEREF _Toc55920794 \h </w:instrText>
      </w:r>
      <w:r>
        <w:rPr>
          <w:noProof/>
        </w:rPr>
      </w:r>
      <w:r>
        <w:rPr>
          <w:noProof/>
        </w:rPr>
        <w:fldChar w:fldCharType="separate"/>
      </w:r>
      <w:r>
        <w:rPr>
          <w:noProof/>
        </w:rPr>
        <w:t>16</w:t>
      </w:r>
      <w:r>
        <w:rPr>
          <w:noProof/>
        </w:rPr>
        <w:fldChar w:fldCharType="end"/>
      </w:r>
    </w:p>
    <w:p w14:paraId="0AB04FFB" w14:textId="3A86DA70" w:rsidR="00D30CFB" w:rsidRDefault="00D30CFB">
      <w:pPr>
        <w:pStyle w:val="TDC2"/>
        <w:rPr>
          <w:rFonts w:asciiTheme="minorHAnsi" w:eastAsiaTheme="minorEastAsia" w:hAnsiTheme="minorHAnsi"/>
          <w:noProof/>
          <w:sz w:val="22"/>
          <w:lang w:eastAsia="ca-ES"/>
        </w:rPr>
      </w:pPr>
      <w:r>
        <w:rPr>
          <w:noProof/>
        </w:rPr>
        <w:t>6.1 Requisitos</w:t>
      </w:r>
      <w:r>
        <w:rPr>
          <w:noProof/>
        </w:rPr>
        <w:tab/>
      </w:r>
      <w:r>
        <w:rPr>
          <w:noProof/>
        </w:rPr>
        <w:fldChar w:fldCharType="begin"/>
      </w:r>
      <w:r>
        <w:rPr>
          <w:noProof/>
        </w:rPr>
        <w:instrText xml:space="preserve"> PAGEREF _Toc55920795 \h </w:instrText>
      </w:r>
      <w:r>
        <w:rPr>
          <w:noProof/>
        </w:rPr>
      </w:r>
      <w:r>
        <w:rPr>
          <w:noProof/>
        </w:rPr>
        <w:fldChar w:fldCharType="separate"/>
      </w:r>
      <w:r>
        <w:rPr>
          <w:noProof/>
        </w:rPr>
        <w:t>16</w:t>
      </w:r>
      <w:r>
        <w:rPr>
          <w:noProof/>
        </w:rPr>
        <w:fldChar w:fldCharType="end"/>
      </w:r>
    </w:p>
    <w:p w14:paraId="28F9048F" w14:textId="0E4BA3E5" w:rsidR="00D30CFB" w:rsidRDefault="00D30CFB">
      <w:pPr>
        <w:pStyle w:val="TDC1"/>
        <w:tabs>
          <w:tab w:val="left" w:pos="567"/>
        </w:tabs>
        <w:rPr>
          <w:rFonts w:asciiTheme="minorHAnsi" w:eastAsiaTheme="minorEastAsia" w:hAnsiTheme="minorHAnsi"/>
          <w:noProof/>
          <w:sz w:val="22"/>
          <w:lang w:eastAsia="ca-ES"/>
        </w:rPr>
      </w:pPr>
      <w:r>
        <w:rPr>
          <w:noProof/>
        </w:rPr>
        <w:t>7.</w:t>
      </w:r>
      <w:r>
        <w:rPr>
          <w:rFonts w:asciiTheme="minorHAnsi" w:eastAsiaTheme="minorEastAsia" w:hAnsiTheme="minorHAnsi"/>
          <w:noProof/>
          <w:sz w:val="22"/>
          <w:lang w:eastAsia="ca-ES"/>
        </w:rPr>
        <w:tab/>
      </w:r>
      <w:r>
        <w:rPr>
          <w:noProof/>
        </w:rPr>
        <w:t>Propuesta técnica y económica de los licitadores</w:t>
      </w:r>
      <w:r>
        <w:rPr>
          <w:noProof/>
        </w:rPr>
        <w:tab/>
      </w:r>
      <w:r>
        <w:rPr>
          <w:noProof/>
        </w:rPr>
        <w:fldChar w:fldCharType="begin"/>
      </w:r>
      <w:r>
        <w:rPr>
          <w:noProof/>
        </w:rPr>
        <w:instrText xml:space="preserve"> PAGEREF _Toc55920796 \h </w:instrText>
      </w:r>
      <w:r>
        <w:rPr>
          <w:noProof/>
        </w:rPr>
      </w:r>
      <w:r>
        <w:rPr>
          <w:noProof/>
        </w:rPr>
        <w:fldChar w:fldCharType="separate"/>
      </w:r>
      <w:r>
        <w:rPr>
          <w:noProof/>
        </w:rPr>
        <w:t>18</w:t>
      </w:r>
      <w:r>
        <w:rPr>
          <w:noProof/>
        </w:rPr>
        <w:fldChar w:fldCharType="end"/>
      </w:r>
    </w:p>
    <w:p w14:paraId="7430BA83" w14:textId="36DAE267" w:rsidR="00D30CFB" w:rsidRDefault="00D30CFB">
      <w:pPr>
        <w:pStyle w:val="TDC2"/>
        <w:rPr>
          <w:rFonts w:asciiTheme="minorHAnsi" w:eastAsiaTheme="minorEastAsia" w:hAnsiTheme="minorHAnsi"/>
          <w:noProof/>
          <w:sz w:val="22"/>
          <w:lang w:eastAsia="ca-ES"/>
        </w:rPr>
      </w:pPr>
      <w:r>
        <w:rPr>
          <w:noProof/>
        </w:rPr>
        <w:t>7.1 Estructura de la propuesta técnica</w:t>
      </w:r>
      <w:r>
        <w:rPr>
          <w:noProof/>
        </w:rPr>
        <w:tab/>
      </w:r>
      <w:r>
        <w:rPr>
          <w:noProof/>
        </w:rPr>
        <w:fldChar w:fldCharType="begin"/>
      </w:r>
      <w:r>
        <w:rPr>
          <w:noProof/>
        </w:rPr>
        <w:instrText xml:space="preserve"> PAGEREF _Toc55920797 \h </w:instrText>
      </w:r>
      <w:r>
        <w:rPr>
          <w:noProof/>
        </w:rPr>
      </w:r>
      <w:r>
        <w:rPr>
          <w:noProof/>
        </w:rPr>
        <w:fldChar w:fldCharType="separate"/>
      </w:r>
      <w:r>
        <w:rPr>
          <w:noProof/>
        </w:rPr>
        <w:t>18</w:t>
      </w:r>
      <w:r>
        <w:rPr>
          <w:noProof/>
        </w:rPr>
        <w:fldChar w:fldCharType="end"/>
      </w:r>
    </w:p>
    <w:p w14:paraId="0C702842" w14:textId="2D1C4485" w:rsidR="00D30CFB" w:rsidRDefault="00D30CFB">
      <w:pPr>
        <w:pStyle w:val="TDC2"/>
        <w:rPr>
          <w:rFonts w:asciiTheme="minorHAnsi" w:eastAsiaTheme="minorEastAsia" w:hAnsiTheme="minorHAnsi"/>
          <w:noProof/>
          <w:sz w:val="22"/>
          <w:lang w:eastAsia="ca-ES"/>
        </w:rPr>
      </w:pPr>
      <w:r>
        <w:rPr>
          <w:noProof/>
        </w:rPr>
        <w:t>7.2 Estructura de la propuesta evaluable mediante fórmulas (criterios objetivos)</w:t>
      </w:r>
      <w:r>
        <w:rPr>
          <w:noProof/>
        </w:rPr>
        <w:tab/>
      </w:r>
      <w:r>
        <w:rPr>
          <w:noProof/>
        </w:rPr>
        <w:fldChar w:fldCharType="begin"/>
      </w:r>
      <w:r>
        <w:rPr>
          <w:noProof/>
        </w:rPr>
        <w:instrText xml:space="preserve"> PAGEREF _Toc55920798 \h </w:instrText>
      </w:r>
      <w:r>
        <w:rPr>
          <w:noProof/>
        </w:rPr>
      </w:r>
      <w:r>
        <w:rPr>
          <w:noProof/>
        </w:rPr>
        <w:fldChar w:fldCharType="separate"/>
      </w:r>
      <w:r>
        <w:rPr>
          <w:noProof/>
        </w:rPr>
        <w:t>19</w:t>
      </w:r>
      <w:r>
        <w:rPr>
          <w:noProof/>
        </w:rPr>
        <w:fldChar w:fldCharType="end"/>
      </w:r>
    </w:p>
    <w:p w14:paraId="53A6AF6B" w14:textId="2039B3D6" w:rsidR="00D86A48" w:rsidRPr="003612DD" w:rsidRDefault="00CE009F" w:rsidP="00293559">
      <w:pPr>
        <w:rPr>
          <w:rFonts w:ascii="Arial" w:hAnsi="Arial" w:cs="Arial"/>
          <w:sz w:val="18"/>
          <w:szCs w:val="18"/>
        </w:rPr>
        <w:sectPr w:rsidR="00D86A48" w:rsidRPr="003612DD" w:rsidSect="00F826DA">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928" w:right="1418" w:bottom="1400" w:left="1701" w:header="794" w:footer="567" w:gutter="0"/>
          <w:cols w:space="708"/>
          <w:titlePg/>
          <w:docGrid w:linePitch="360"/>
        </w:sectPr>
      </w:pPr>
      <w:r w:rsidRPr="003612DD">
        <w:rPr>
          <w:rFonts w:ascii="Arial" w:hAnsi="Arial" w:cs="Arial"/>
          <w:sz w:val="18"/>
          <w:szCs w:val="18"/>
        </w:rPr>
        <w:fldChar w:fldCharType="end"/>
      </w:r>
    </w:p>
    <w:p w14:paraId="3CA4788F" w14:textId="1BB1ABE4" w:rsidR="00B11165" w:rsidRPr="003612DD" w:rsidRDefault="00B11165" w:rsidP="00673EC5">
      <w:pPr>
        <w:pStyle w:val="Ttulo1"/>
        <w:numPr>
          <w:ilvl w:val="0"/>
          <w:numId w:val="4"/>
        </w:numPr>
        <w:tabs>
          <w:tab w:val="left" w:pos="2678"/>
        </w:tabs>
      </w:pPr>
      <w:bookmarkStart w:id="2" w:name="_Toc462997523"/>
      <w:bookmarkStart w:id="3" w:name="_Toc55920776"/>
      <w:r w:rsidRPr="003612DD">
        <w:lastRenderedPageBreak/>
        <w:t>Contexto de la homologación</w:t>
      </w:r>
      <w:bookmarkEnd w:id="2"/>
      <w:bookmarkEnd w:id="3"/>
    </w:p>
    <w:p w14:paraId="0CB1D3E1" w14:textId="44E3E8E3" w:rsidR="00B11165" w:rsidRPr="003612DD" w:rsidRDefault="00B11165" w:rsidP="00EC33C0">
      <w:pPr>
        <w:pStyle w:val="Ttulo2"/>
        <w:spacing w:before="300"/>
      </w:pPr>
      <w:bookmarkStart w:id="4" w:name="_Toc462997524"/>
      <w:bookmarkStart w:id="5" w:name="_Toc55920777"/>
      <w:r w:rsidRPr="003612DD">
        <w:t>1.1 Marco de decisión de las entidades participantes</w:t>
      </w:r>
      <w:bookmarkEnd w:id="4"/>
      <w:bookmarkEnd w:id="5"/>
    </w:p>
    <w:p w14:paraId="1D1A0E9F" w14:textId="69041F96" w:rsidR="00B11165" w:rsidRPr="003612DD" w:rsidRDefault="00B11165" w:rsidP="00B11165">
      <w:pPr>
        <w:rPr>
          <w:b/>
        </w:rPr>
      </w:pPr>
      <w:r w:rsidRPr="003612DD">
        <w:t xml:space="preserve">El Consorci de </w:t>
      </w:r>
      <w:r w:rsidR="00D419E2" w:rsidRPr="003612DD">
        <w:t>Serv</w:t>
      </w:r>
      <w:r w:rsidR="00D419E2">
        <w:t>eis</w:t>
      </w:r>
      <w:r w:rsidR="00D419E2" w:rsidRPr="003612DD">
        <w:t xml:space="preserve"> </w:t>
      </w:r>
      <w:r w:rsidRPr="003612DD">
        <w:t xml:space="preserve">Universitaris de </w:t>
      </w:r>
      <w:r w:rsidR="00D419E2" w:rsidRPr="003612DD">
        <w:t>Catalu</w:t>
      </w:r>
      <w:r w:rsidR="00D419E2">
        <w:t>ny</w:t>
      </w:r>
      <w:r w:rsidR="00D419E2" w:rsidRPr="003612DD">
        <w:t xml:space="preserve">a </w:t>
      </w:r>
      <w:r w:rsidRPr="003612DD">
        <w:t xml:space="preserve">(CSUC) </w:t>
      </w:r>
      <w:proofErr w:type="spellStart"/>
      <w:r w:rsidRPr="003612DD">
        <w:t>establece</w:t>
      </w:r>
      <w:proofErr w:type="spellEnd"/>
      <w:r w:rsidRPr="003612DD">
        <w:t xml:space="preserve"> un </w:t>
      </w:r>
      <w:proofErr w:type="spellStart"/>
      <w:r w:rsidRPr="003612DD">
        <w:t>procedimiento</w:t>
      </w:r>
      <w:proofErr w:type="spellEnd"/>
      <w:r w:rsidRPr="003612DD">
        <w:t xml:space="preserve"> de homologación de proveedores de servicios relacionados con el cumplimiento del Esquema Nacional de Seguridad (ENS), la ISO 27001, el Reglamento General de Protección de Datos (RGPD) y la Ley orgánica de protección de datos personales y garantía de los derechos digitales.</w:t>
      </w:r>
    </w:p>
    <w:p w14:paraId="04E0BDDB" w14:textId="72F46FD1" w:rsidR="000A67EE" w:rsidRDefault="000A67EE" w:rsidP="00EC33C0">
      <w:pPr>
        <w:spacing w:before="120" w:after="120"/>
      </w:pPr>
      <w:r>
        <w:t>Las entidades que participarán (en adelante Entidades) en esta homologación son:</w:t>
      </w:r>
    </w:p>
    <w:p w14:paraId="1B5EA7C0" w14:textId="5E3CB29B" w:rsidR="00C75C11" w:rsidRDefault="00D419E2" w:rsidP="00EC33C0">
      <w:pPr>
        <w:pStyle w:val="Prrafodelista"/>
        <w:numPr>
          <w:ilvl w:val="0"/>
          <w:numId w:val="40"/>
        </w:numPr>
        <w:spacing w:before="120" w:after="120"/>
        <w:contextualSpacing w:val="0"/>
      </w:pPr>
      <w:bookmarkStart w:id="6" w:name="OLE_LINK1"/>
      <w:bookmarkStart w:id="7" w:name="OLE_LINK2"/>
      <w:r>
        <w:t xml:space="preserve">Universitat </w:t>
      </w:r>
      <w:r w:rsidR="00C75C11">
        <w:t>de Barcelona (UB)</w:t>
      </w:r>
    </w:p>
    <w:p w14:paraId="19563563" w14:textId="6CAAAFD0" w:rsidR="00C75C11" w:rsidRDefault="00D419E2" w:rsidP="00EC33C0">
      <w:pPr>
        <w:pStyle w:val="Prrafodelista"/>
        <w:numPr>
          <w:ilvl w:val="0"/>
          <w:numId w:val="40"/>
        </w:numPr>
        <w:spacing w:before="120" w:after="120"/>
        <w:contextualSpacing w:val="0"/>
      </w:pPr>
      <w:r>
        <w:t xml:space="preserve">Universitat </w:t>
      </w:r>
      <w:r w:rsidR="00C75C11">
        <w:t>Aut</w:t>
      </w:r>
      <w:r>
        <w:t>ò</w:t>
      </w:r>
      <w:r w:rsidR="00C75C11">
        <w:t>noma de Barcelona (UAB)</w:t>
      </w:r>
    </w:p>
    <w:p w14:paraId="2FCD0F76" w14:textId="6A814868" w:rsidR="0026368C" w:rsidRDefault="00D419E2" w:rsidP="00EC33C0">
      <w:pPr>
        <w:pStyle w:val="Prrafodelista"/>
        <w:numPr>
          <w:ilvl w:val="0"/>
          <w:numId w:val="40"/>
        </w:numPr>
        <w:spacing w:before="120" w:after="120"/>
        <w:contextualSpacing w:val="0"/>
      </w:pPr>
      <w:r>
        <w:t xml:space="preserve">Universitat </w:t>
      </w:r>
      <w:r w:rsidR="0026368C">
        <w:t>Polit</w:t>
      </w:r>
      <w:r>
        <w:t>è</w:t>
      </w:r>
      <w:r w:rsidR="0026368C">
        <w:t>cnica de Cataluña (UPC)</w:t>
      </w:r>
    </w:p>
    <w:p w14:paraId="1B4AD921" w14:textId="775FF7A3" w:rsidR="00C75C11" w:rsidRDefault="00D419E2" w:rsidP="00EC33C0">
      <w:pPr>
        <w:pStyle w:val="Prrafodelista"/>
        <w:numPr>
          <w:ilvl w:val="0"/>
          <w:numId w:val="40"/>
        </w:numPr>
        <w:spacing w:before="120" w:after="120"/>
        <w:contextualSpacing w:val="0"/>
      </w:pPr>
      <w:r>
        <w:t xml:space="preserve">Universitat </w:t>
      </w:r>
      <w:r w:rsidR="00C75C11">
        <w:t>Pompeu Fabra (UPF)</w:t>
      </w:r>
    </w:p>
    <w:p w14:paraId="748C3E8C" w14:textId="37AC1C6E" w:rsidR="00052C36" w:rsidRDefault="00D419E2" w:rsidP="00EC33C0">
      <w:pPr>
        <w:pStyle w:val="Prrafodelista"/>
        <w:numPr>
          <w:ilvl w:val="0"/>
          <w:numId w:val="40"/>
        </w:numPr>
        <w:spacing w:before="120" w:after="120"/>
        <w:contextualSpacing w:val="0"/>
      </w:pPr>
      <w:r>
        <w:t xml:space="preserve">Universitat </w:t>
      </w:r>
      <w:r w:rsidR="00052C36">
        <w:t>de Lleida (UdL)</w:t>
      </w:r>
    </w:p>
    <w:p w14:paraId="03F9D2C9" w14:textId="60CB774F" w:rsidR="00E625A7" w:rsidRDefault="00D419E2" w:rsidP="00EC33C0">
      <w:pPr>
        <w:pStyle w:val="Prrafodelista"/>
        <w:numPr>
          <w:ilvl w:val="0"/>
          <w:numId w:val="40"/>
        </w:numPr>
        <w:spacing w:before="120" w:after="120"/>
        <w:contextualSpacing w:val="0"/>
      </w:pPr>
      <w:r>
        <w:t xml:space="preserve">Universitat </w:t>
      </w:r>
      <w:r w:rsidR="00E625A7">
        <w:t>Rovira i Virgili (URV)</w:t>
      </w:r>
    </w:p>
    <w:p w14:paraId="319BF047" w14:textId="01CA104C" w:rsidR="00C75C11" w:rsidRDefault="00D419E2" w:rsidP="00EC33C0">
      <w:pPr>
        <w:pStyle w:val="Prrafodelista"/>
        <w:numPr>
          <w:ilvl w:val="0"/>
          <w:numId w:val="40"/>
        </w:numPr>
        <w:spacing w:before="120" w:after="120"/>
        <w:contextualSpacing w:val="0"/>
      </w:pPr>
      <w:r>
        <w:t xml:space="preserve">Universitat </w:t>
      </w:r>
      <w:r w:rsidR="00C75C11">
        <w:t xml:space="preserve">de Vic - </w:t>
      </w:r>
      <w:r>
        <w:t xml:space="preserve">Universitat </w:t>
      </w:r>
      <w:r w:rsidR="00C75C11">
        <w:t>Central de Catalu</w:t>
      </w:r>
      <w:r>
        <w:t>ny</w:t>
      </w:r>
      <w:r w:rsidR="00C75C11">
        <w:t>a (</w:t>
      </w:r>
      <w:proofErr w:type="spellStart"/>
      <w:r w:rsidR="00C75C11">
        <w:t>UVic</w:t>
      </w:r>
      <w:proofErr w:type="spellEnd"/>
      <w:r w:rsidR="00C75C11">
        <w:t>-UCC)</w:t>
      </w:r>
    </w:p>
    <w:p w14:paraId="465D955B" w14:textId="789D96D8" w:rsidR="00C75C11" w:rsidRDefault="00D419E2" w:rsidP="00EC33C0">
      <w:pPr>
        <w:pStyle w:val="Prrafodelista"/>
        <w:numPr>
          <w:ilvl w:val="0"/>
          <w:numId w:val="40"/>
        </w:numPr>
        <w:spacing w:before="120" w:after="120"/>
        <w:contextualSpacing w:val="0"/>
      </w:pPr>
      <w:r>
        <w:t xml:space="preserve">Universitat Oberta </w:t>
      </w:r>
      <w:r w:rsidR="00C75C11">
        <w:t>de Catalu</w:t>
      </w:r>
      <w:r>
        <w:t>ny</w:t>
      </w:r>
      <w:r w:rsidR="00C75C11">
        <w:t>a (UOC)</w:t>
      </w:r>
    </w:p>
    <w:p w14:paraId="5DB3004E" w14:textId="08E44515" w:rsidR="00403D07" w:rsidRPr="00A76DD8" w:rsidRDefault="00403D07" w:rsidP="00EC33C0">
      <w:pPr>
        <w:pStyle w:val="Prrafodelista"/>
        <w:numPr>
          <w:ilvl w:val="0"/>
          <w:numId w:val="40"/>
        </w:numPr>
        <w:spacing w:before="120" w:after="120"/>
        <w:contextualSpacing w:val="0"/>
        <w:rPr>
          <w:lang w:val="es-ES"/>
        </w:rPr>
      </w:pPr>
      <w:r w:rsidRPr="00A76DD8">
        <w:rPr>
          <w:lang w:val="es-ES"/>
        </w:rPr>
        <w:t>Universidad Rey Juan Carlos (URJC)</w:t>
      </w:r>
    </w:p>
    <w:p w14:paraId="5456756A" w14:textId="6FC7A6A2" w:rsidR="00C75C11" w:rsidRDefault="00C75C11" w:rsidP="00EC33C0">
      <w:pPr>
        <w:pStyle w:val="Prrafodelista"/>
        <w:numPr>
          <w:ilvl w:val="0"/>
          <w:numId w:val="40"/>
        </w:numPr>
        <w:spacing w:before="120"/>
        <w:ind w:left="714" w:hanging="357"/>
        <w:contextualSpacing w:val="0"/>
      </w:pPr>
      <w:r>
        <w:t xml:space="preserve">Consorci de </w:t>
      </w:r>
      <w:r w:rsidR="00D419E2">
        <w:t xml:space="preserve">Serveis </w:t>
      </w:r>
      <w:r>
        <w:t xml:space="preserve">Universitaris de </w:t>
      </w:r>
      <w:r w:rsidR="00D419E2">
        <w:t xml:space="preserve">Catalunya </w:t>
      </w:r>
      <w:r>
        <w:t>(CSUC)</w:t>
      </w:r>
    </w:p>
    <w:bookmarkEnd w:id="6"/>
    <w:bookmarkEnd w:id="7"/>
    <w:p w14:paraId="20FE5F27" w14:textId="2B03422C" w:rsidR="00E2376B" w:rsidRPr="003612DD" w:rsidRDefault="000A67EE" w:rsidP="000A67EE">
      <w:r>
        <w:t xml:space="preserve">Las entidades que posteriormente se podrán adherir conforme al procedimiento fijado en el PCAP son, </w:t>
      </w:r>
      <w:proofErr w:type="spellStart"/>
      <w:r>
        <w:t>Universidades</w:t>
      </w:r>
      <w:proofErr w:type="spellEnd"/>
      <w:r>
        <w:t xml:space="preserve"> </w:t>
      </w:r>
      <w:proofErr w:type="spellStart"/>
      <w:r>
        <w:t>integrantes</w:t>
      </w:r>
      <w:proofErr w:type="spellEnd"/>
      <w:r>
        <w:t xml:space="preserve"> y </w:t>
      </w:r>
      <w:proofErr w:type="spellStart"/>
      <w:r>
        <w:t>agregadas</w:t>
      </w:r>
      <w:proofErr w:type="spellEnd"/>
      <w:r>
        <w:t xml:space="preserve"> al CSUC, </w:t>
      </w:r>
      <w:proofErr w:type="spellStart"/>
      <w:r>
        <w:t>Universidades</w:t>
      </w:r>
      <w:proofErr w:type="spellEnd"/>
      <w:r>
        <w:t xml:space="preserve"> del Estado, los Centros de </w:t>
      </w:r>
      <w:proofErr w:type="spellStart"/>
      <w:r>
        <w:t>investigación</w:t>
      </w:r>
      <w:proofErr w:type="spellEnd"/>
      <w:r>
        <w:t xml:space="preserve"> que formen </w:t>
      </w:r>
      <w:proofErr w:type="spellStart"/>
      <w:r>
        <w:t>parte</w:t>
      </w:r>
      <w:proofErr w:type="spellEnd"/>
      <w:r>
        <w:t xml:space="preserve"> de la </w:t>
      </w:r>
      <w:proofErr w:type="spellStart"/>
      <w:r>
        <w:t>institución</w:t>
      </w:r>
      <w:proofErr w:type="spellEnd"/>
      <w:r>
        <w:t xml:space="preserve"> I-</w:t>
      </w:r>
      <w:r w:rsidR="00D419E2">
        <w:t xml:space="preserve">CERCA </w:t>
      </w:r>
      <w:r>
        <w:t xml:space="preserve">de Centros de </w:t>
      </w:r>
      <w:proofErr w:type="spellStart"/>
      <w:r>
        <w:t>Investigación</w:t>
      </w:r>
      <w:proofErr w:type="spellEnd"/>
      <w:r>
        <w:t xml:space="preserve"> de Catalu</w:t>
      </w:r>
      <w:r w:rsidR="00D419E2">
        <w:t>ny</w:t>
      </w:r>
      <w:r>
        <w:t xml:space="preserve">a, Parques </w:t>
      </w:r>
      <w:proofErr w:type="spellStart"/>
      <w:r>
        <w:t>científicos</w:t>
      </w:r>
      <w:proofErr w:type="spellEnd"/>
      <w:r>
        <w:t xml:space="preserve"> , </w:t>
      </w:r>
      <w:proofErr w:type="spellStart"/>
      <w:r>
        <w:t>centros</w:t>
      </w:r>
      <w:proofErr w:type="spellEnd"/>
      <w:r>
        <w:t xml:space="preserve"> </w:t>
      </w:r>
      <w:proofErr w:type="spellStart"/>
      <w:r>
        <w:t>universitarios</w:t>
      </w:r>
      <w:proofErr w:type="spellEnd"/>
      <w:r>
        <w:t xml:space="preserve"> de enseñanza superior de la Asociación de centros Adscritos a la Universidades Públicas (ACAUP), </w:t>
      </w:r>
      <w:proofErr w:type="spellStart"/>
      <w:r>
        <w:t>centros</w:t>
      </w:r>
      <w:proofErr w:type="spellEnd"/>
      <w:r>
        <w:t xml:space="preserve"> </w:t>
      </w:r>
      <w:proofErr w:type="spellStart"/>
      <w:r>
        <w:t>dependientes</w:t>
      </w:r>
      <w:proofErr w:type="spellEnd"/>
      <w:r>
        <w:t xml:space="preserve"> de los </w:t>
      </w:r>
      <w:proofErr w:type="spellStart"/>
      <w:r>
        <w:t>consorciados</w:t>
      </w:r>
      <w:proofErr w:type="spellEnd"/>
      <w:r>
        <w:t xml:space="preserve"> del CSUC y los </w:t>
      </w:r>
      <w:proofErr w:type="spellStart"/>
      <w:r>
        <w:t>centros</w:t>
      </w:r>
      <w:proofErr w:type="spellEnd"/>
      <w:r>
        <w:t xml:space="preserve"> </w:t>
      </w:r>
      <w:proofErr w:type="spellStart"/>
      <w:r>
        <w:t>adheridos</w:t>
      </w:r>
      <w:proofErr w:type="spellEnd"/>
      <w:r>
        <w:t xml:space="preserve"> a la Anella Científica tal como se describen en el siguiente enlace: http: // www.csuc.cat/ca/comunicacions/anella-cientifica/institucions-adherides.</w:t>
      </w:r>
    </w:p>
    <w:p w14:paraId="382F92EE" w14:textId="2FC7178E" w:rsidR="00B11165" w:rsidRPr="003612DD" w:rsidRDefault="00B11165" w:rsidP="00EC33C0">
      <w:pPr>
        <w:pStyle w:val="Ttulo2"/>
        <w:spacing w:before="300"/>
      </w:pPr>
      <w:bookmarkStart w:id="8" w:name="_Toc462997525"/>
      <w:bookmarkStart w:id="9" w:name="_Toc55920778"/>
      <w:r w:rsidRPr="003612DD">
        <w:t>1.2 Objeto del proceso de homologación</w:t>
      </w:r>
      <w:bookmarkEnd w:id="8"/>
      <w:bookmarkEnd w:id="9"/>
    </w:p>
    <w:p w14:paraId="3D808E2E" w14:textId="29A5EB53" w:rsidR="00A76DD8" w:rsidRPr="00CD0F28" w:rsidRDefault="00B11165" w:rsidP="009A61A6">
      <w:r w:rsidRPr="003612DD">
        <w:t xml:space="preserve">Este proceso tiene por objeto la homologación de proveedores para la prestación de un conjunto de servicios de consultoría, auditoría y apoyo de naturaleza tanto técnica como jurídica, necesarios para conseguir, y mantener durante la vigencia de la contratación, la adecuación, cumplimiento de la normativa asociada al Esquema Nacional de Seguridad (ENS), la ISO 27001 y el Reglamento </w:t>
      </w:r>
      <w:r w:rsidRPr="003612DD">
        <w:lastRenderedPageBreak/>
        <w:t>General de protección de datos (RGPD), y la Ley orgánica de protección de datos personales y garantía de los derechos digitales.</w:t>
      </w:r>
    </w:p>
    <w:p w14:paraId="46C89530" w14:textId="4B1B8D09" w:rsidR="00B11165" w:rsidRPr="003612DD" w:rsidRDefault="00B11165" w:rsidP="00B11165">
      <w:r w:rsidRPr="003612DD">
        <w:t>El proceso de homologación tendrá una duración de dos años, prorrogable por un período de dos años, 2 + 2, a partir de la fecha de firma de este contrato de homologación, e incluirá unos acuerdos de actualización para modificaciones de las normativas o reglamentos.</w:t>
      </w:r>
    </w:p>
    <w:p w14:paraId="3E575EC9" w14:textId="257B451F" w:rsidR="00B11165" w:rsidRPr="003612DD" w:rsidRDefault="00B11165" w:rsidP="00EC33C0">
      <w:pPr>
        <w:pStyle w:val="Ttulo2"/>
        <w:spacing w:before="300"/>
      </w:pPr>
      <w:bookmarkStart w:id="10" w:name="_Toc462997526"/>
      <w:bookmarkStart w:id="11" w:name="_Toc55920779"/>
      <w:r w:rsidRPr="003612DD">
        <w:t>1.3 Homologación por Lotes y contratos basados</w:t>
      </w:r>
      <w:bookmarkEnd w:id="10"/>
      <w:bookmarkEnd w:id="11"/>
    </w:p>
    <w:p w14:paraId="38DC20E2" w14:textId="2772BB93" w:rsidR="00B11165" w:rsidRPr="003612DD" w:rsidRDefault="00BA44ED" w:rsidP="00EC33C0">
      <w:pPr>
        <w:spacing w:before="120" w:after="120"/>
        <w:rPr>
          <w:shd w:val="clear" w:color="auto" w:fill="FFFFFF"/>
          <w:lang w:eastAsia="ca-ES"/>
        </w:rPr>
      </w:pPr>
      <w:r w:rsidRPr="003612DD">
        <w:rPr>
          <w:shd w:val="clear" w:color="auto" w:fill="FFFFFF"/>
          <w:lang w:eastAsia="ca-ES"/>
        </w:rPr>
        <w:t>La licitación se estructura en cuatro lotes,</w:t>
      </w:r>
    </w:p>
    <w:p w14:paraId="5C83C00D" w14:textId="370E4D8E" w:rsidR="00BB10B8" w:rsidRPr="00EC33C0" w:rsidRDefault="00DE11AC" w:rsidP="00EC33C0">
      <w:pPr>
        <w:spacing w:before="120" w:after="120"/>
        <w:ind w:left="284"/>
      </w:pPr>
      <w:proofErr w:type="spellStart"/>
      <w:r w:rsidRPr="00EC33C0">
        <w:t>Lote</w:t>
      </w:r>
      <w:proofErr w:type="spellEnd"/>
      <w:r w:rsidRPr="00EC33C0">
        <w:t xml:space="preserve"> 1: </w:t>
      </w:r>
      <w:r w:rsidR="00D419E2" w:rsidRPr="00EC33C0">
        <w:t>E</w:t>
      </w:r>
      <w:r w:rsidR="00D419E2">
        <w:t>NS</w:t>
      </w:r>
      <w:r w:rsidR="00D419E2" w:rsidRPr="00EC33C0">
        <w:t xml:space="preserve"> </w:t>
      </w:r>
      <w:r w:rsidRPr="00EC33C0">
        <w:t>e ISO 27001</w:t>
      </w:r>
    </w:p>
    <w:p w14:paraId="456BABE2" w14:textId="24A6CCA5" w:rsidR="00BB10B8" w:rsidRPr="00EC33C0" w:rsidRDefault="00DE11AC" w:rsidP="00EC33C0">
      <w:pPr>
        <w:spacing w:before="120" w:after="120"/>
        <w:ind w:left="284"/>
      </w:pPr>
      <w:r w:rsidRPr="00EC33C0">
        <w:t>Lote 2: Protección de datos: Servicios</w:t>
      </w:r>
    </w:p>
    <w:p w14:paraId="7FADF5E3" w14:textId="615B3590" w:rsidR="002A395A" w:rsidRPr="00EC33C0" w:rsidRDefault="00DE11AC" w:rsidP="00EC33C0">
      <w:pPr>
        <w:spacing w:before="120" w:after="120"/>
        <w:ind w:left="284"/>
      </w:pPr>
      <w:r w:rsidRPr="00EC33C0">
        <w:t>Lote 3: Protección de datos: Servicios profesionales en protección de datos</w:t>
      </w:r>
    </w:p>
    <w:p w14:paraId="509582A3" w14:textId="3C7747B9" w:rsidR="00DE11AC" w:rsidRPr="00EC33C0" w:rsidRDefault="00DE11AC" w:rsidP="00EC33C0">
      <w:pPr>
        <w:spacing w:before="120"/>
        <w:ind w:left="284"/>
      </w:pPr>
      <w:r w:rsidRPr="00EC33C0">
        <w:t>Lote 4: Protección de datos: Oficina de apoyo al Delegado de Protección de Datos (DPD)</w:t>
      </w:r>
    </w:p>
    <w:p w14:paraId="1FDDDD21" w14:textId="3AC20393" w:rsidR="00B11165" w:rsidRPr="00DC350A" w:rsidRDefault="00DF6C7C" w:rsidP="00673EC5">
      <w:pPr>
        <w:rPr>
          <w:bCs/>
        </w:rPr>
      </w:pPr>
      <w:r>
        <w:rPr>
          <w:bCs/>
        </w:rPr>
        <w:t xml:space="preserve">Los </w:t>
      </w:r>
      <w:proofErr w:type="spellStart"/>
      <w:r>
        <w:rPr>
          <w:bCs/>
        </w:rPr>
        <w:t>contratistas</w:t>
      </w:r>
      <w:proofErr w:type="spellEnd"/>
      <w:r>
        <w:rPr>
          <w:bCs/>
        </w:rPr>
        <w:t xml:space="preserve"> de las </w:t>
      </w:r>
      <w:proofErr w:type="spellStart"/>
      <w:r>
        <w:rPr>
          <w:bCs/>
        </w:rPr>
        <w:t>licitaciones</w:t>
      </w:r>
      <w:proofErr w:type="spellEnd"/>
      <w:r>
        <w:rPr>
          <w:bCs/>
        </w:rPr>
        <w:t xml:space="preserve"> </w:t>
      </w:r>
      <w:proofErr w:type="spellStart"/>
      <w:r>
        <w:rPr>
          <w:bCs/>
        </w:rPr>
        <w:t>basadas</w:t>
      </w:r>
      <w:proofErr w:type="spellEnd"/>
      <w:r>
        <w:rPr>
          <w:bCs/>
        </w:rPr>
        <w:t xml:space="preserve"> </w:t>
      </w:r>
      <w:proofErr w:type="spellStart"/>
      <w:r>
        <w:rPr>
          <w:bCs/>
        </w:rPr>
        <w:t>proveerá</w:t>
      </w:r>
      <w:proofErr w:type="spellEnd"/>
      <w:r>
        <w:rPr>
          <w:bCs/>
        </w:rPr>
        <w:t xml:space="preserve">, </w:t>
      </w:r>
      <w:proofErr w:type="spellStart"/>
      <w:r>
        <w:rPr>
          <w:bCs/>
        </w:rPr>
        <w:t>semestralmente</w:t>
      </w:r>
      <w:proofErr w:type="spellEnd"/>
      <w:r>
        <w:rPr>
          <w:bCs/>
        </w:rPr>
        <w:t xml:space="preserve">; al CSUC la </w:t>
      </w:r>
      <w:proofErr w:type="spellStart"/>
      <w:r>
        <w:rPr>
          <w:bCs/>
        </w:rPr>
        <w:t>información</w:t>
      </w:r>
      <w:proofErr w:type="spellEnd"/>
      <w:r>
        <w:rPr>
          <w:bCs/>
        </w:rPr>
        <w:t xml:space="preserve"> relativa a los basados ​​contratados, con indicación de fecha, entidad que ha realizado la compra, servicio / s realizado / si importe del basado y total. El hecho de no entregar la información indicada aplicarán las actuaciones recogidas en el PCAP.</w:t>
      </w:r>
    </w:p>
    <w:p w14:paraId="7F429B22" w14:textId="612C43EA" w:rsidR="00B11165" w:rsidRPr="003612DD" w:rsidRDefault="005473F0" w:rsidP="003A37EB">
      <w:pPr>
        <w:pStyle w:val="Ttulo1"/>
        <w:numPr>
          <w:ilvl w:val="0"/>
          <w:numId w:val="4"/>
        </w:numPr>
        <w:rPr>
          <w:rFonts w:cs="Arial"/>
        </w:rPr>
      </w:pPr>
      <w:bookmarkStart w:id="12" w:name="_Toc14213781"/>
      <w:bookmarkStart w:id="13" w:name="_Toc14213782"/>
      <w:bookmarkStart w:id="14" w:name="_Toc14213783"/>
      <w:bookmarkStart w:id="15" w:name="_Toc462997528"/>
      <w:bookmarkStart w:id="16" w:name="_Toc55920780"/>
      <w:bookmarkEnd w:id="12"/>
      <w:bookmarkEnd w:id="13"/>
      <w:bookmarkEnd w:id="14"/>
      <w:r w:rsidRPr="003612DD">
        <w:rPr>
          <w:rFonts w:cs="Arial"/>
        </w:rPr>
        <w:t>Requisitos generales de la licitación</w:t>
      </w:r>
      <w:bookmarkEnd w:id="15"/>
      <w:bookmarkEnd w:id="16"/>
    </w:p>
    <w:p w14:paraId="39465EF0" w14:textId="69550F57" w:rsidR="00B11165" w:rsidRDefault="00B11165" w:rsidP="00EC33C0">
      <w:pPr>
        <w:pStyle w:val="Ttulo2"/>
        <w:spacing w:before="300"/>
      </w:pPr>
      <w:bookmarkStart w:id="17" w:name="_Toc462997529"/>
      <w:bookmarkStart w:id="18" w:name="_Toc55920781"/>
      <w:r w:rsidRPr="001273F1">
        <w:t>2.1 Certificaciones y homologaciones</w:t>
      </w:r>
      <w:bookmarkEnd w:id="17"/>
      <w:bookmarkEnd w:id="18"/>
    </w:p>
    <w:p w14:paraId="09987660" w14:textId="400FE0B7" w:rsidR="00CE2A22" w:rsidRPr="004210A8" w:rsidRDefault="00303374" w:rsidP="0025547D">
      <w:r>
        <w:t xml:space="preserve">En el </w:t>
      </w:r>
      <w:r w:rsidR="00EC33C0">
        <w:t>PCAP (</w:t>
      </w:r>
      <w:proofErr w:type="spellStart"/>
      <w:r w:rsidR="00EC33C0">
        <w:t>apartado</w:t>
      </w:r>
      <w:proofErr w:type="spellEnd"/>
      <w:r w:rsidR="00EC33C0">
        <w:t xml:space="preserve"> F.6 y U de cuadro de características) se indica para cada lote las certificaciones y homologaciones, en su caso.</w:t>
      </w:r>
    </w:p>
    <w:p w14:paraId="179DF193" w14:textId="77BAA93A" w:rsidR="00B11165" w:rsidRPr="001273F1" w:rsidRDefault="00B11165" w:rsidP="00EC33C0">
      <w:pPr>
        <w:pStyle w:val="Ttulo2"/>
        <w:spacing w:before="300"/>
      </w:pPr>
      <w:bookmarkStart w:id="19" w:name="_Toc462997534"/>
      <w:bookmarkStart w:id="20" w:name="_Toc55920782"/>
      <w:r w:rsidRPr="001273F1">
        <w:t>2.2 Actualización de la oferta</w:t>
      </w:r>
      <w:bookmarkEnd w:id="19"/>
      <w:bookmarkEnd w:id="20"/>
    </w:p>
    <w:p w14:paraId="40F148D3" w14:textId="3240FC2E" w:rsidR="0025547D" w:rsidRDefault="000E6232" w:rsidP="009E325C">
      <w:r w:rsidRPr="003612DD">
        <w:t>Durante la duración de este acuerdo marco de homologación, el proveedor debe garantizar que en caso de modificaciones o actualizaciones de las normativas y reglamentos podrá apoyar a las nuevas necesidades de las entidades participantes en el acuerdo marco que motiven estos cambios.</w:t>
      </w:r>
    </w:p>
    <w:p w14:paraId="62C03795" w14:textId="0AC50A2D" w:rsidR="009E325C" w:rsidRDefault="009E325C" w:rsidP="009E325C">
      <w:r w:rsidRPr="003612DD">
        <w:t>El Comité de supervisión del Acuerdo Marco se reserva el derecho de aceptar o rechazar la mejora.</w:t>
      </w:r>
    </w:p>
    <w:p w14:paraId="5029B51E" w14:textId="1AD3C261" w:rsidR="00ED0C5C" w:rsidRPr="001B205D" w:rsidRDefault="00ED0C5C" w:rsidP="00EC33C0">
      <w:pPr>
        <w:pStyle w:val="Ttulo2"/>
        <w:spacing w:before="300"/>
      </w:pPr>
      <w:bookmarkStart w:id="21" w:name="_Toc55920784"/>
      <w:r w:rsidRPr="001B205D">
        <w:t>2.4 Perfiles con los que se concurre a la licitación y calidad de los servicios prestados</w:t>
      </w:r>
      <w:bookmarkEnd w:id="21"/>
    </w:p>
    <w:p w14:paraId="5A537E86" w14:textId="1D8CFD3B" w:rsidR="00ED0C5C" w:rsidRPr="009648E8" w:rsidRDefault="009B42D9" w:rsidP="00EC33C0">
      <w:pPr>
        <w:spacing w:before="120" w:after="120"/>
      </w:pPr>
      <w:r w:rsidRPr="009648E8">
        <w:t>A continuación se detallan los perfiles a que se hacen referencia en el presente pliego.</w:t>
      </w:r>
    </w:p>
    <w:p w14:paraId="38B3EF35" w14:textId="53930AAF" w:rsidR="00ED0C5C" w:rsidRPr="009648E8" w:rsidRDefault="00ED0C5C" w:rsidP="00EC33C0">
      <w:pPr>
        <w:pStyle w:val="Prrafodelista"/>
        <w:numPr>
          <w:ilvl w:val="0"/>
          <w:numId w:val="60"/>
        </w:numPr>
        <w:spacing w:before="120" w:after="120"/>
        <w:ind w:left="357" w:hanging="357"/>
        <w:contextualSpacing w:val="0"/>
      </w:pPr>
      <w:r w:rsidRPr="009648E8">
        <w:lastRenderedPageBreak/>
        <w:t>Gestor de proyectos: profesional con experiencia y conocimientos en el ámbito de desarrollo de proyectos en el ámbito planteado por la licitación. El precio / hora de referencia máximo es de 80 €.</w:t>
      </w:r>
    </w:p>
    <w:p w14:paraId="66E92FD2" w14:textId="6ADB68E7" w:rsidR="00D0605E" w:rsidRPr="009648E8" w:rsidRDefault="00ED0C5C" w:rsidP="00EC33C0">
      <w:pPr>
        <w:pStyle w:val="Prrafodelista"/>
        <w:numPr>
          <w:ilvl w:val="0"/>
          <w:numId w:val="60"/>
        </w:numPr>
        <w:spacing w:before="120" w:after="120"/>
        <w:ind w:left="357" w:hanging="357"/>
        <w:contextualSpacing w:val="0"/>
      </w:pPr>
      <w:r w:rsidRPr="009648E8">
        <w:t>Consultor tecnológico: profesional con experiencia, formación y conocimientos tecnológico concretamente en los ámbitos de protección de datos, el Esquema Nacional de Seguridad, ISO27001 desde una perspectiva tecnológica, implantación de medidas de seguridad, análisis de herramientas así como de los diferentes tipos de activos de información. El precio / hora de referencia máximo es de 80 €.</w:t>
      </w:r>
    </w:p>
    <w:p w14:paraId="4B57212E" w14:textId="11F5B817" w:rsidR="004D59A6" w:rsidRPr="009648E8" w:rsidRDefault="00ED0C5C" w:rsidP="00EC33C0">
      <w:pPr>
        <w:pStyle w:val="Prrafodelista"/>
        <w:numPr>
          <w:ilvl w:val="0"/>
          <w:numId w:val="60"/>
        </w:numPr>
        <w:spacing w:before="120"/>
        <w:ind w:left="357" w:hanging="357"/>
        <w:contextualSpacing w:val="0"/>
      </w:pPr>
      <w:r w:rsidRPr="009648E8">
        <w:t>Consultor jurídico: profesional con experiencia, formación y conocimientos en el ámbito jurídico concretamente en los ámbitos de protección de datos, el Esquema Nacional de Seguridad, ISO27001 y / o auditoría. El precio / hora de referencia máximo es de 100 €.</w:t>
      </w:r>
    </w:p>
    <w:p w14:paraId="5EF1876D" w14:textId="7BBF1F63" w:rsidR="006F4375" w:rsidRPr="007203AB" w:rsidRDefault="006F4375" w:rsidP="006F4375">
      <w:r w:rsidRPr="007203AB">
        <w:t>La empresa licitadora que sea objeto de un contrato basado deberá prestar los servicios con los perfiles profesionales indicados (o que el organismo contratante acepte el perfil propuesto) y el resultado del trabajo deberá tener una calidad similar a los ejemplos de servicios que se incorporaron con la oferta técnica.</w:t>
      </w:r>
    </w:p>
    <w:p w14:paraId="1CAC4761" w14:textId="152C79A7" w:rsidR="006F4375" w:rsidRPr="007203AB" w:rsidRDefault="006F4375" w:rsidP="006F4375">
      <w:r w:rsidRPr="007203AB">
        <w:t>El incumplimiento de estos puntos supondrá la exclusión de la homologación.</w:t>
      </w:r>
    </w:p>
    <w:p w14:paraId="5821872F" w14:textId="3C2C9CCE" w:rsidR="00B11165" w:rsidRPr="003612DD" w:rsidRDefault="00B11165" w:rsidP="003A37EB">
      <w:pPr>
        <w:pStyle w:val="Ttulo1"/>
        <w:numPr>
          <w:ilvl w:val="0"/>
          <w:numId w:val="4"/>
        </w:numPr>
      </w:pPr>
      <w:bookmarkStart w:id="22" w:name="_Toc462997544"/>
      <w:bookmarkStart w:id="23" w:name="_Toc55920786"/>
      <w:r w:rsidRPr="003612DD">
        <w:t xml:space="preserve">LOTE 1: Servicios </w:t>
      </w:r>
      <w:proofErr w:type="spellStart"/>
      <w:r w:rsidRPr="003612DD">
        <w:t>dentro</w:t>
      </w:r>
      <w:proofErr w:type="spellEnd"/>
      <w:r w:rsidRPr="003612DD">
        <w:t xml:space="preserve"> del </w:t>
      </w:r>
      <w:proofErr w:type="spellStart"/>
      <w:r w:rsidRPr="003612DD">
        <w:t>ámbito</w:t>
      </w:r>
      <w:proofErr w:type="spellEnd"/>
      <w:r w:rsidRPr="003612DD">
        <w:t xml:space="preserve"> </w:t>
      </w:r>
      <w:proofErr w:type="spellStart"/>
      <w:r w:rsidRPr="003612DD">
        <w:t>de</w:t>
      </w:r>
      <w:r w:rsidR="00303374">
        <w:t>l</w:t>
      </w:r>
      <w:r w:rsidRPr="003612DD">
        <w:t>ENS</w:t>
      </w:r>
      <w:proofErr w:type="spellEnd"/>
      <w:r w:rsidRPr="003612DD">
        <w:t xml:space="preserve"> y la ISO 27001</w:t>
      </w:r>
      <w:bookmarkEnd w:id="22"/>
      <w:bookmarkEnd w:id="23"/>
    </w:p>
    <w:p w14:paraId="165EA4D7" w14:textId="02BEBC13" w:rsidR="00BF6C1F" w:rsidRDefault="00981D68" w:rsidP="00BF6C1F">
      <w:bookmarkStart w:id="24" w:name="_Toc462997545"/>
      <w:r w:rsidRPr="001B205D">
        <w:t>Este lote contempla la homologación de proveedores para la prestación de un conjunto de servicios de consultoría, auditoría, apoyo, y certificación (en su caso) de naturaleza técnica para la gestión de la seguridad de los sistemas de información de las entidades participantes.</w:t>
      </w:r>
    </w:p>
    <w:p w14:paraId="36BFB4EC" w14:textId="0BB41348" w:rsidR="00BF6C1F" w:rsidRDefault="00531E36" w:rsidP="00981D68">
      <w:r>
        <w:t>Estos servicios deben permitir mantener durante la vigencia del contrato, la adecuación, el cumplimiento de la normativa asociada al Esquema Nacional de Seguridad (ENS) y la preparación para la certificación en su caso; y la implantación y mantenimiento del ciclo de vida de la ISO 27001.</w:t>
      </w:r>
    </w:p>
    <w:p w14:paraId="53546C18" w14:textId="52CF8CD6" w:rsidR="00B157AA" w:rsidRPr="00EC33C0" w:rsidRDefault="00EC33C0" w:rsidP="00EC33C0">
      <w:r w:rsidRPr="00EC33C0">
        <w:rPr>
          <w:bCs/>
        </w:rPr>
        <w:t>Se deberá aportar las certificaciones requeridas a nivel de empresa</w:t>
      </w:r>
      <w:r w:rsidRPr="00EC33C0">
        <w:t xml:space="preserve"> y para los perfiles del personal ofertado (globalmente) indicadas al PCAP (Apartados F6 y U del Quade de características)</w:t>
      </w:r>
    </w:p>
    <w:p w14:paraId="194BF2B0" w14:textId="04A092A4" w:rsidR="00B11165" w:rsidRPr="003612DD" w:rsidRDefault="0025547D" w:rsidP="00EC33C0">
      <w:pPr>
        <w:pStyle w:val="Ttulo2"/>
        <w:spacing w:before="300"/>
      </w:pPr>
      <w:bookmarkStart w:id="25" w:name="_Toc55920787"/>
      <w:r>
        <w:t xml:space="preserve">3.1 Relación de servicios y </w:t>
      </w:r>
      <w:proofErr w:type="spellStart"/>
      <w:r>
        <w:t>requisitos</w:t>
      </w:r>
      <w:proofErr w:type="spellEnd"/>
      <w:r>
        <w:t xml:space="preserve"> en el </w:t>
      </w:r>
      <w:proofErr w:type="spellStart"/>
      <w:r>
        <w:t>ámbito</w:t>
      </w:r>
      <w:proofErr w:type="spellEnd"/>
      <w:r>
        <w:t xml:space="preserve"> </w:t>
      </w:r>
      <w:r w:rsidR="00303374">
        <w:t>del</w:t>
      </w:r>
      <w:r>
        <w:t xml:space="preserve"> ENS</w:t>
      </w:r>
      <w:bookmarkEnd w:id="24"/>
      <w:bookmarkEnd w:id="25"/>
    </w:p>
    <w:p w14:paraId="0BA1CC1C" w14:textId="7991B297" w:rsidR="00C44643" w:rsidRDefault="007723E8" w:rsidP="00EC33C0">
      <w:pPr>
        <w:spacing w:before="120" w:after="120"/>
      </w:pPr>
      <w:r w:rsidRPr="003612DD">
        <w:t xml:space="preserve">A continuación se relacionan los servicios que se solicitan en el </w:t>
      </w:r>
      <w:proofErr w:type="spellStart"/>
      <w:r w:rsidRPr="003612DD">
        <w:t>Lote</w:t>
      </w:r>
      <w:proofErr w:type="spellEnd"/>
      <w:r w:rsidRPr="003612DD">
        <w:t xml:space="preserve"> 1, en </w:t>
      </w:r>
      <w:proofErr w:type="spellStart"/>
      <w:r w:rsidRPr="003612DD">
        <w:t>cuanto</w:t>
      </w:r>
      <w:proofErr w:type="spellEnd"/>
      <w:r w:rsidRPr="003612DD">
        <w:t xml:space="preserve"> al ENS, que de forma obligatoria deberán ser incluidos en la propuesta presentada por el licitador:</w:t>
      </w:r>
    </w:p>
    <w:p w14:paraId="547340A4" w14:textId="770E4354" w:rsidR="00E518D1" w:rsidRPr="00BF74B9" w:rsidRDefault="00E518D1" w:rsidP="00EC33C0">
      <w:pPr>
        <w:pStyle w:val="Prrafodelista"/>
        <w:numPr>
          <w:ilvl w:val="0"/>
          <w:numId w:val="41"/>
        </w:numPr>
        <w:spacing w:before="120" w:after="120"/>
        <w:contextualSpacing w:val="0"/>
      </w:pPr>
      <w:r w:rsidRPr="00BF74B9">
        <w:t>Plan de adecuación</w:t>
      </w:r>
    </w:p>
    <w:p w14:paraId="341733F8" w14:textId="77777777" w:rsidR="00E518D1" w:rsidRPr="00BF74B9" w:rsidRDefault="00E518D1" w:rsidP="00EC33C0">
      <w:pPr>
        <w:pStyle w:val="Prrafodelista"/>
        <w:numPr>
          <w:ilvl w:val="0"/>
          <w:numId w:val="41"/>
        </w:numPr>
        <w:spacing w:before="120" w:after="120"/>
        <w:contextualSpacing w:val="0"/>
      </w:pPr>
      <w:r w:rsidRPr="00BF74B9">
        <w:t>Análisis de riesgos</w:t>
      </w:r>
    </w:p>
    <w:p w14:paraId="2A02398A" w14:textId="7CCB3161" w:rsidR="001273F1" w:rsidRPr="00BF74B9" w:rsidRDefault="001273F1" w:rsidP="00EC33C0">
      <w:pPr>
        <w:pStyle w:val="Prrafodelista"/>
        <w:numPr>
          <w:ilvl w:val="0"/>
          <w:numId w:val="41"/>
        </w:numPr>
        <w:spacing w:before="120" w:after="120"/>
        <w:contextualSpacing w:val="0"/>
      </w:pPr>
      <w:r w:rsidRPr="00BF74B9">
        <w:t>Análisis del cumplimiento / Análisis de GAP</w:t>
      </w:r>
    </w:p>
    <w:p w14:paraId="4B429545" w14:textId="77777777" w:rsidR="00E518D1" w:rsidRPr="00BF74B9" w:rsidRDefault="00E518D1" w:rsidP="00EC33C0">
      <w:pPr>
        <w:pStyle w:val="Prrafodelista"/>
        <w:numPr>
          <w:ilvl w:val="0"/>
          <w:numId w:val="41"/>
        </w:numPr>
        <w:spacing w:before="120" w:after="120"/>
        <w:contextualSpacing w:val="0"/>
      </w:pPr>
      <w:r w:rsidRPr="00BF74B9">
        <w:t>Política y procedimientos de seguridad</w:t>
      </w:r>
    </w:p>
    <w:p w14:paraId="32663568" w14:textId="0F821522" w:rsidR="001273F1" w:rsidRPr="00B92996" w:rsidRDefault="001273F1" w:rsidP="00EC33C0">
      <w:pPr>
        <w:pStyle w:val="Prrafodelista"/>
        <w:numPr>
          <w:ilvl w:val="0"/>
          <w:numId w:val="41"/>
        </w:numPr>
        <w:spacing w:before="120" w:after="120"/>
        <w:contextualSpacing w:val="0"/>
      </w:pPr>
      <w:proofErr w:type="spellStart"/>
      <w:r w:rsidRPr="00B92996">
        <w:lastRenderedPageBreak/>
        <w:t>Auditoría</w:t>
      </w:r>
      <w:proofErr w:type="spellEnd"/>
      <w:r w:rsidRPr="00B92996">
        <w:t xml:space="preserve"> del ENS</w:t>
      </w:r>
    </w:p>
    <w:p w14:paraId="3D71FB1C" w14:textId="77777777" w:rsidR="00FF033B" w:rsidRPr="00BF74B9" w:rsidRDefault="001273F1" w:rsidP="00EC33C0">
      <w:pPr>
        <w:pStyle w:val="Prrafodelista"/>
        <w:numPr>
          <w:ilvl w:val="0"/>
          <w:numId w:val="41"/>
        </w:numPr>
        <w:spacing w:before="120" w:after="120"/>
        <w:contextualSpacing w:val="0"/>
      </w:pPr>
      <w:r w:rsidRPr="00BF74B9">
        <w:t>Acompañamiento Auditoría Certificación NOS</w:t>
      </w:r>
    </w:p>
    <w:p w14:paraId="1412D379" w14:textId="7637F4E2" w:rsidR="00FF033B" w:rsidRPr="00BF74B9" w:rsidRDefault="00FF033B" w:rsidP="00EC33C0">
      <w:pPr>
        <w:pStyle w:val="Prrafodelista"/>
        <w:numPr>
          <w:ilvl w:val="0"/>
          <w:numId w:val="41"/>
        </w:numPr>
        <w:spacing w:before="120"/>
        <w:ind w:left="714" w:hanging="357"/>
        <w:contextualSpacing w:val="0"/>
      </w:pPr>
      <w:r w:rsidRPr="00BF74B9">
        <w:t xml:space="preserve">Formación sobre los procesos </w:t>
      </w:r>
      <w:proofErr w:type="spellStart"/>
      <w:r w:rsidRPr="00BF74B9">
        <w:t>asociados</w:t>
      </w:r>
      <w:proofErr w:type="spellEnd"/>
      <w:r w:rsidRPr="00BF74B9">
        <w:t xml:space="preserve"> a la </w:t>
      </w:r>
      <w:proofErr w:type="spellStart"/>
      <w:r w:rsidRPr="00BF74B9">
        <w:t>gestión</w:t>
      </w:r>
      <w:proofErr w:type="spellEnd"/>
      <w:r w:rsidRPr="00BF74B9">
        <w:t xml:space="preserve"> del ENS</w:t>
      </w:r>
    </w:p>
    <w:p w14:paraId="4D3262EB" w14:textId="77777777" w:rsidR="00EC33C0" w:rsidRDefault="00EC33C0" w:rsidP="009648E8"/>
    <w:p w14:paraId="263063AF" w14:textId="23FD9B9F" w:rsidR="0071752F" w:rsidRDefault="00FF21DF" w:rsidP="00EC33C0">
      <w:pPr>
        <w:spacing w:before="120" w:after="120"/>
      </w:pPr>
      <w:r>
        <w:t>Habrá que considerar las siguientes áreas de actuación principales en relación a los servicios mencionados:</w:t>
      </w:r>
    </w:p>
    <w:p w14:paraId="51704641" w14:textId="77A4B1C3" w:rsidR="0071752F" w:rsidRPr="0071752F" w:rsidRDefault="0071752F" w:rsidP="00EC33C0">
      <w:pPr>
        <w:pStyle w:val="Prrafodelista"/>
        <w:numPr>
          <w:ilvl w:val="0"/>
          <w:numId w:val="41"/>
        </w:numPr>
        <w:spacing w:before="120" w:after="120"/>
        <w:contextualSpacing w:val="0"/>
      </w:pPr>
      <w:r w:rsidRPr="00366C4E">
        <w:t>Categorización de los sistemas teniendo en cuenta la evaluación de la información que se gestiona y los servicios prestados</w:t>
      </w:r>
    </w:p>
    <w:p w14:paraId="166474B4" w14:textId="04EF3BEB" w:rsidR="0071752F" w:rsidRPr="00366C4E" w:rsidRDefault="0071752F" w:rsidP="00EC33C0">
      <w:pPr>
        <w:pStyle w:val="Prrafodelista"/>
        <w:numPr>
          <w:ilvl w:val="0"/>
          <w:numId w:val="41"/>
        </w:numPr>
        <w:spacing w:before="120" w:after="120"/>
        <w:contextualSpacing w:val="0"/>
      </w:pPr>
      <w:r w:rsidRPr="00366C4E">
        <w:t>Requisitos mínimos de seguridad</w:t>
      </w:r>
    </w:p>
    <w:p w14:paraId="29825FEA" w14:textId="4336F6CF" w:rsidR="0071752F" w:rsidRPr="00366C4E" w:rsidRDefault="0071752F" w:rsidP="00EC33C0">
      <w:pPr>
        <w:pStyle w:val="Prrafodelista"/>
        <w:numPr>
          <w:ilvl w:val="0"/>
          <w:numId w:val="41"/>
        </w:numPr>
        <w:spacing w:before="120" w:after="120"/>
        <w:contextualSpacing w:val="0"/>
      </w:pPr>
      <w:r w:rsidRPr="00366C4E">
        <w:t>Organización e implementación del proceso de seguridad</w:t>
      </w:r>
    </w:p>
    <w:p w14:paraId="09A65546" w14:textId="3D13FF53" w:rsidR="0071752F" w:rsidRPr="00366C4E" w:rsidRDefault="0071752F" w:rsidP="00EC33C0">
      <w:pPr>
        <w:pStyle w:val="Prrafodelista"/>
        <w:numPr>
          <w:ilvl w:val="0"/>
          <w:numId w:val="41"/>
        </w:numPr>
        <w:spacing w:before="120" w:after="120"/>
        <w:contextualSpacing w:val="0"/>
      </w:pPr>
      <w:r w:rsidRPr="00366C4E">
        <w:t>Análisis y gestión de riesgos</w:t>
      </w:r>
    </w:p>
    <w:p w14:paraId="4D2219EC" w14:textId="2EA72D01" w:rsidR="0071752F" w:rsidRPr="00366C4E" w:rsidRDefault="0071752F" w:rsidP="00EC33C0">
      <w:pPr>
        <w:pStyle w:val="Prrafodelista"/>
        <w:numPr>
          <w:ilvl w:val="0"/>
          <w:numId w:val="41"/>
        </w:numPr>
        <w:spacing w:before="120" w:after="120"/>
        <w:contextualSpacing w:val="0"/>
      </w:pPr>
      <w:r w:rsidRPr="00366C4E">
        <w:t>Gestión de personal</w:t>
      </w:r>
    </w:p>
    <w:p w14:paraId="3049551E" w14:textId="5BBA7B2F" w:rsidR="0071752F" w:rsidRPr="00366C4E" w:rsidRDefault="00303374" w:rsidP="00EC33C0">
      <w:pPr>
        <w:pStyle w:val="Prrafodelista"/>
        <w:numPr>
          <w:ilvl w:val="0"/>
          <w:numId w:val="41"/>
        </w:numPr>
        <w:spacing w:before="120" w:after="120"/>
        <w:contextualSpacing w:val="0"/>
      </w:pPr>
      <w:proofErr w:type="spellStart"/>
      <w:r>
        <w:t>P</w:t>
      </w:r>
      <w:r w:rsidR="0071752F" w:rsidRPr="00366C4E">
        <w:t>rofesionalidad</w:t>
      </w:r>
      <w:proofErr w:type="spellEnd"/>
    </w:p>
    <w:p w14:paraId="08532656" w14:textId="7CCD571F" w:rsidR="0071752F" w:rsidRPr="00366C4E" w:rsidRDefault="0071752F" w:rsidP="00EC33C0">
      <w:pPr>
        <w:pStyle w:val="Prrafodelista"/>
        <w:numPr>
          <w:ilvl w:val="0"/>
          <w:numId w:val="41"/>
        </w:numPr>
        <w:spacing w:before="120" w:after="120"/>
        <w:contextualSpacing w:val="0"/>
      </w:pPr>
      <w:r w:rsidRPr="00366C4E">
        <w:t>Autorización y control de accesos</w:t>
      </w:r>
    </w:p>
    <w:p w14:paraId="78F25AD3" w14:textId="6C943167" w:rsidR="0071752F" w:rsidRPr="00366C4E" w:rsidRDefault="0071752F" w:rsidP="00EC33C0">
      <w:pPr>
        <w:pStyle w:val="Prrafodelista"/>
        <w:numPr>
          <w:ilvl w:val="0"/>
          <w:numId w:val="41"/>
        </w:numPr>
        <w:spacing w:before="120" w:after="120"/>
        <w:contextualSpacing w:val="0"/>
      </w:pPr>
      <w:r w:rsidRPr="00366C4E">
        <w:t>Protección de instalaciones</w:t>
      </w:r>
    </w:p>
    <w:p w14:paraId="04934997" w14:textId="0C38210D" w:rsidR="0071752F" w:rsidRPr="00366C4E" w:rsidRDefault="0071752F" w:rsidP="00EC33C0">
      <w:pPr>
        <w:pStyle w:val="Prrafodelista"/>
        <w:numPr>
          <w:ilvl w:val="0"/>
          <w:numId w:val="41"/>
        </w:numPr>
        <w:spacing w:before="120" w:after="120"/>
        <w:contextualSpacing w:val="0"/>
      </w:pPr>
      <w:r w:rsidRPr="00366C4E">
        <w:t>Adquisición de productos de seguridad</w:t>
      </w:r>
    </w:p>
    <w:p w14:paraId="217ADFED" w14:textId="6058A119" w:rsidR="0071752F" w:rsidRPr="00366C4E" w:rsidRDefault="0071752F" w:rsidP="00EC33C0">
      <w:pPr>
        <w:pStyle w:val="Prrafodelista"/>
        <w:numPr>
          <w:ilvl w:val="0"/>
          <w:numId w:val="41"/>
        </w:numPr>
        <w:spacing w:before="120" w:after="120"/>
        <w:contextualSpacing w:val="0"/>
      </w:pPr>
      <w:r w:rsidRPr="00366C4E">
        <w:t>Seguridad por defecto</w:t>
      </w:r>
    </w:p>
    <w:p w14:paraId="01ED582D" w14:textId="432930D2" w:rsidR="0071752F" w:rsidRPr="00366C4E" w:rsidRDefault="0071752F" w:rsidP="00EC33C0">
      <w:pPr>
        <w:pStyle w:val="Prrafodelista"/>
        <w:numPr>
          <w:ilvl w:val="0"/>
          <w:numId w:val="41"/>
        </w:numPr>
        <w:spacing w:before="120" w:after="120"/>
        <w:contextualSpacing w:val="0"/>
      </w:pPr>
      <w:r w:rsidRPr="00366C4E">
        <w:t>Integridad y actualización del sistema</w:t>
      </w:r>
    </w:p>
    <w:p w14:paraId="095C57FE" w14:textId="1E42C1FB" w:rsidR="0071752F" w:rsidRPr="00366C4E" w:rsidRDefault="0071752F" w:rsidP="00EC33C0">
      <w:pPr>
        <w:pStyle w:val="Prrafodelista"/>
        <w:numPr>
          <w:ilvl w:val="0"/>
          <w:numId w:val="41"/>
        </w:numPr>
        <w:spacing w:before="120" w:after="120"/>
        <w:contextualSpacing w:val="0"/>
      </w:pPr>
      <w:r w:rsidRPr="00366C4E">
        <w:t>Protección de la información almacenada y en tránsito</w:t>
      </w:r>
    </w:p>
    <w:p w14:paraId="36A8741B" w14:textId="02187DEC" w:rsidR="0071752F" w:rsidRPr="00366C4E" w:rsidRDefault="0071752F" w:rsidP="00EC33C0">
      <w:pPr>
        <w:pStyle w:val="Prrafodelista"/>
        <w:numPr>
          <w:ilvl w:val="0"/>
          <w:numId w:val="41"/>
        </w:numPr>
        <w:spacing w:before="120" w:after="120"/>
        <w:contextualSpacing w:val="0"/>
      </w:pPr>
      <w:r w:rsidRPr="00366C4E">
        <w:t>Prevención contra otros sistemas de información interconectados</w:t>
      </w:r>
    </w:p>
    <w:p w14:paraId="777B0F8E" w14:textId="00A38202" w:rsidR="0071752F" w:rsidRPr="00366C4E" w:rsidRDefault="0071752F" w:rsidP="00EC33C0">
      <w:pPr>
        <w:pStyle w:val="Prrafodelista"/>
        <w:numPr>
          <w:ilvl w:val="0"/>
          <w:numId w:val="41"/>
        </w:numPr>
        <w:spacing w:before="120" w:after="120"/>
        <w:contextualSpacing w:val="0"/>
      </w:pPr>
      <w:r w:rsidRPr="00366C4E">
        <w:t>Registro de actividades</w:t>
      </w:r>
    </w:p>
    <w:p w14:paraId="4710B0BF" w14:textId="1BBF2DD8" w:rsidR="0071752F" w:rsidRPr="00366C4E" w:rsidRDefault="0071752F" w:rsidP="00EC33C0">
      <w:pPr>
        <w:pStyle w:val="Prrafodelista"/>
        <w:numPr>
          <w:ilvl w:val="0"/>
          <w:numId w:val="41"/>
        </w:numPr>
        <w:spacing w:before="120" w:after="120"/>
        <w:contextualSpacing w:val="0"/>
      </w:pPr>
      <w:r w:rsidRPr="00366C4E">
        <w:t>Incidencias de seguridad</w:t>
      </w:r>
    </w:p>
    <w:p w14:paraId="66597A75" w14:textId="104E7AE7" w:rsidR="0071752F" w:rsidRPr="00366C4E" w:rsidRDefault="0071752F" w:rsidP="00EC33C0">
      <w:pPr>
        <w:pStyle w:val="Prrafodelista"/>
        <w:numPr>
          <w:ilvl w:val="0"/>
          <w:numId w:val="41"/>
        </w:numPr>
        <w:spacing w:before="120" w:after="120"/>
        <w:contextualSpacing w:val="0"/>
      </w:pPr>
      <w:r w:rsidRPr="00366C4E">
        <w:t>Continuidad de la actividad</w:t>
      </w:r>
    </w:p>
    <w:p w14:paraId="11BBCA00" w14:textId="2DCDA289" w:rsidR="0071752F" w:rsidRPr="00366C4E" w:rsidRDefault="0071752F" w:rsidP="00EC33C0">
      <w:pPr>
        <w:pStyle w:val="Prrafodelista"/>
        <w:numPr>
          <w:ilvl w:val="0"/>
          <w:numId w:val="41"/>
        </w:numPr>
        <w:spacing w:before="120" w:after="120"/>
        <w:contextualSpacing w:val="0"/>
      </w:pPr>
      <w:r w:rsidRPr="00366C4E">
        <w:t>Mejora continua del proceso de seguridad</w:t>
      </w:r>
    </w:p>
    <w:p w14:paraId="5980CBB7" w14:textId="44E11CDA" w:rsidR="0071752F" w:rsidRDefault="0071752F" w:rsidP="00EC33C0">
      <w:pPr>
        <w:pStyle w:val="Prrafodelista"/>
        <w:numPr>
          <w:ilvl w:val="0"/>
          <w:numId w:val="41"/>
        </w:numPr>
        <w:spacing w:before="120" w:after="120"/>
        <w:contextualSpacing w:val="0"/>
      </w:pPr>
      <w:r w:rsidRPr="00366C4E">
        <w:t>Cumplimiento de los requisitos mínimos</w:t>
      </w:r>
    </w:p>
    <w:p w14:paraId="197FA85F" w14:textId="0B1CA66F" w:rsidR="0071752F" w:rsidRPr="00366C4E" w:rsidRDefault="0071752F" w:rsidP="00EC33C0">
      <w:pPr>
        <w:pStyle w:val="Prrafodelista"/>
        <w:numPr>
          <w:ilvl w:val="0"/>
          <w:numId w:val="41"/>
        </w:numPr>
        <w:spacing w:before="120" w:after="120"/>
        <w:contextualSpacing w:val="0"/>
      </w:pPr>
      <w:r w:rsidRPr="00366C4E">
        <w:t>Infraestructuras y servicios comunes</w:t>
      </w:r>
    </w:p>
    <w:p w14:paraId="516B0C11" w14:textId="6529BA34" w:rsidR="0071752F" w:rsidRPr="00366C4E" w:rsidRDefault="0071752F" w:rsidP="00EC33C0">
      <w:pPr>
        <w:pStyle w:val="Prrafodelista"/>
        <w:numPr>
          <w:ilvl w:val="0"/>
          <w:numId w:val="41"/>
        </w:numPr>
        <w:spacing w:before="120" w:after="120"/>
        <w:contextualSpacing w:val="0"/>
      </w:pPr>
      <w:r w:rsidRPr="00366C4E">
        <w:t>Guías de seguridad</w:t>
      </w:r>
    </w:p>
    <w:p w14:paraId="04AA9F9A" w14:textId="0CD93A7B" w:rsidR="0071752F" w:rsidRPr="00366C4E" w:rsidRDefault="0071752F" w:rsidP="00EC33C0">
      <w:pPr>
        <w:pStyle w:val="Prrafodelista"/>
        <w:numPr>
          <w:ilvl w:val="0"/>
          <w:numId w:val="41"/>
        </w:numPr>
        <w:spacing w:before="120"/>
        <w:ind w:left="714" w:hanging="357"/>
        <w:contextualSpacing w:val="0"/>
      </w:pPr>
      <w:r w:rsidRPr="00366C4E">
        <w:t>Sistemas de información no afectados</w:t>
      </w:r>
    </w:p>
    <w:p w14:paraId="5B366921" w14:textId="56E28305" w:rsidR="009648E8" w:rsidRDefault="009648E8" w:rsidP="009648E8">
      <w:r w:rsidRPr="001B205D">
        <w:t xml:space="preserve">La ejecución de los servicios puede requerir el uso y / o la entrega del archivo resultante del uso de las herramientas del Centro Criptológico Nacional (CCN) asociado al servicio u otro instrumento que </w:t>
      </w:r>
      <w:proofErr w:type="spellStart"/>
      <w:r w:rsidRPr="001B205D">
        <w:t>ponga</w:t>
      </w:r>
      <w:proofErr w:type="spellEnd"/>
      <w:r w:rsidRPr="001B205D">
        <w:t xml:space="preserve"> a </w:t>
      </w:r>
      <w:proofErr w:type="spellStart"/>
      <w:r w:rsidRPr="001B205D">
        <w:t>disposición</w:t>
      </w:r>
      <w:proofErr w:type="spellEnd"/>
      <w:r w:rsidRPr="001B205D">
        <w:t xml:space="preserve"> del </w:t>
      </w:r>
      <w:proofErr w:type="spellStart"/>
      <w:r w:rsidRPr="001B205D">
        <w:t>organismo</w:t>
      </w:r>
      <w:proofErr w:type="spellEnd"/>
      <w:r w:rsidRPr="001B205D">
        <w:t xml:space="preserve"> </w:t>
      </w:r>
      <w:proofErr w:type="spellStart"/>
      <w:r w:rsidRPr="001B205D">
        <w:t>contratante</w:t>
      </w:r>
      <w:proofErr w:type="spellEnd"/>
      <w:r w:rsidRPr="001B205D">
        <w:t xml:space="preserve"> de los </w:t>
      </w:r>
      <w:proofErr w:type="spellStart"/>
      <w:r w:rsidRPr="001B205D">
        <w:t>servicios</w:t>
      </w:r>
      <w:proofErr w:type="spellEnd"/>
      <w:r w:rsidRPr="001B205D">
        <w:t>.</w:t>
      </w:r>
    </w:p>
    <w:p w14:paraId="52743DE4" w14:textId="664729C3" w:rsidR="000F2F47" w:rsidRDefault="000F2F47" w:rsidP="0087416C">
      <w:r>
        <w:lastRenderedPageBreak/>
        <w:t xml:space="preserve">A continuación se describe brevemente que se pide para cada uno de los servicios incluidos en la homologación siguiendo como referencia las "Guías CCN-STIC de Seguridad": https://www.ccn.cni.es/index.php/es/menu -guias-CCN-stico-se, en concreto la serie "CCN-STIC-800" que establece las políticas y procedimientos adecuados para la implementación de las medidas </w:t>
      </w:r>
      <w:proofErr w:type="spellStart"/>
      <w:r>
        <w:t>contempladas</w:t>
      </w:r>
      <w:proofErr w:type="spellEnd"/>
      <w:r>
        <w:t xml:space="preserve"> en el </w:t>
      </w:r>
      <w:proofErr w:type="spellStart"/>
      <w:r>
        <w:t>ámbito</w:t>
      </w:r>
      <w:proofErr w:type="spellEnd"/>
      <w:r>
        <w:t xml:space="preserve"> </w:t>
      </w:r>
      <w:proofErr w:type="spellStart"/>
      <w:r>
        <w:t>específico</w:t>
      </w:r>
      <w:proofErr w:type="spellEnd"/>
      <w:r>
        <w:t xml:space="preserve"> de la NOS.</w:t>
      </w:r>
    </w:p>
    <w:p w14:paraId="7D767AE2" w14:textId="616EC207" w:rsidR="00474F45" w:rsidRDefault="00474F45" w:rsidP="00474F45">
      <w:pPr>
        <w:pStyle w:val="Ttulo4"/>
      </w:pPr>
      <w:r>
        <w:t>Plan de adecuación</w:t>
      </w:r>
    </w:p>
    <w:p w14:paraId="700022CC" w14:textId="0F7FED92" w:rsidR="00E21BE6" w:rsidRDefault="00E21BE6" w:rsidP="00EC33C0">
      <w:pPr>
        <w:spacing w:before="120" w:after="120"/>
      </w:pPr>
      <w:r>
        <w:t>El plan de adecuación que deberán elaborar las empresas homologadas deberá contener la siguiente información:</w:t>
      </w:r>
    </w:p>
    <w:p w14:paraId="5043D5E8" w14:textId="321E1FF2" w:rsidR="00E21BE6" w:rsidRDefault="00E21BE6" w:rsidP="00EC33C0">
      <w:pPr>
        <w:pStyle w:val="Prrafodelista"/>
        <w:numPr>
          <w:ilvl w:val="0"/>
          <w:numId w:val="53"/>
        </w:numPr>
        <w:spacing w:before="120" w:after="120"/>
        <w:contextualSpacing w:val="0"/>
      </w:pPr>
      <w:r>
        <w:t>La política de seguridad.</w:t>
      </w:r>
    </w:p>
    <w:p w14:paraId="55721167" w14:textId="1BE9CB20" w:rsidR="00E21BE6" w:rsidRDefault="00E21BE6" w:rsidP="00EC33C0">
      <w:pPr>
        <w:pStyle w:val="Prrafodelista"/>
        <w:numPr>
          <w:ilvl w:val="0"/>
          <w:numId w:val="53"/>
        </w:numPr>
        <w:spacing w:before="120" w:after="120"/>
        <w:contextualSpacing w:val="0"/>
      </w:pPr>
      <w:r>
        <w:t>Información que se gestiona, con su valoración.</w:t>
      </w:r>
    </w:p>
    <w:p w14:paraId="14127A62" w14:textId="71CAC45C" w:rsidR="00E21BE6" w:rsidRDefault="00E21BE6" w:rsidP="00EC33C0">
      <w:pPr>
        <w:pStyle w:val="Prrafodelista"/>
        <w:numPr>
          <w:ilvl w:val="0"/>
          <w:numId w:val="53"/>
        </w:numPr>
        <w:spacing w:before="120" w:after="120"/>
        <w:contextualSpacing w:val="0"/>
      </w:pPr>
      <w:r>
        <w:t>Servicios que se prestan, con su valoración.</w:t>
      </w:r>
    </w:p>
    <w:p w14:paraId="23EDAC8A" w14:textId="2C3E5D48" w:rsidR="00E21BE6" w:rsidRDefault="00E21BE6" w:rsidP="00EC33C0">
      <w:pPr>
        <w:pStyle w:val="Prrafodelista"/>
        <w:numPr>
          <w:ilvl w:val="0"/>
          <w:numId w:val="53"/>
        </w:numPr>
        <w:spacing w:before="120" w:after="120"/>
        <w:contextualSpacing w:val="0"/>
      </w:pPr>
      <w:r>
        <w:t>Datos de carácter personal.</w:t>
      </w:r>
    </w:p>
    <w:p w14:paraId="7000E0AE" w14:textId="124D9ED8" w:rsidR="00E21BE6" w:rsidRDefault="00E21BE6" w:rsidP="00EC33C0">
      <w:pPr>
        <w:pStyle w:val="Prrafodelista"/>
        <w:numPr>
          <w:ilvl w:val="0"/>
          <w:numId w:val="53"/>
        </w:numPr>
        <w:spacing w:before="120" w:after="120"/>
        <w:contextualSpacing w:val="0"/>
      </w:pPr>
      <w:r>
        <w:t>Categoría del sistema.</w:t>
      </w:r>
    </w:p>
    <w:p w14:paraId="76C9ADF3" w14:textId="3849BF1C" w:rsidR="00E21BE6" w:rsidRDefault="00E21BE6" w:rsidP="00EC33C0">
      <w:pPr>
        <w:pStyle w:val="Prrafodelista"/>
        <w:numPr>
          <w:ilvl w:val="0"/>
          <w:numId w:val="53"/>
        </w:numPr>
        <w:spacing w:before="120" w:after="120"/>
        <w:contextualSpacing w:val="0"/>
      </w:pPr>
      <w:r>
        <w:t>Declaración de aplicabilidad de las medidas del Anexo II de la ENS y las requeridas por el tratamiento de datos de carácter personal en su caso.</w:t>
      </w:r>
    </w:p>
    <w:p w14:paraId="322327E8" w14:textId="7AD3D6CB" w:rsidR="00E21BE6" w:rsidRDefault="00E21BE6" w:rsidP="00EC33C0">
      <w:pPr>
        <w:pStyle w:val="Prrafodelista"/>
        <w:numPr>
          <w:ilvl w:val="0"/>
          <w:numId w:val="53"/>
        </w:numPr>
        <w:spacing w:before="120" w:after="120"/>
        <w:contextualSpacing w:val="0"/>
      </w:pPr>
      <w:r>
        <w:t>Análisis de riesgos.</w:t>
      </w:r>
    </w:p>
    <w:p w14:paraId="6097C4FB" w14:textId="39C9B89B" w:rsidR="00E21BE6" w:rsidRDefault="00E21BE6" w:rsidP="00EC33C0">
      <w:pPr>
        <w:pStyle w:val="Prrafodelista"/>
        <w:numPr>
          <w:ilvl w:val="0"/>
          <w:numId w:val="53"/>
        </w:numPr>
        <w:spacing w:before="120" w:after="120"/>
        <w:contextualSpacing w:val="0"/>
      </w:pPr>
      <w:r>
        <w:t>Insuficiencias del sistema (análisis de GAP)</w:t>
      </w:r>
    </w:p>
    <w:p w14:paraId="0ABBDF7D" w14:textId="4C3A408B" w:rsidR="00E518D1" w:rsidRDefault="00E518D1" w:rsidP="00EC33C0">
      <w:pPr>
        <w:pStyle w:val="Prrafodelista"/>
        <w:numPr>
          <w:ilvl w:val="0"/>
          <w:numId w:val="53"/>
        </w:numPr>
        <w:spacing w:before="120"/>
        <w:ind w:left="714" w:hanging="357"/>
        <w:contextualSpacing w:val="0"/>
      </w:pPr>
      <w:r>
        <w:t>Plan de mejora de la seguridad incluyendo los plazos estimados de ejecución</w:t>
      </w:r>
    </w:p>
    <w:p w14:paraId="45551FAB" w14:textId="7689B86E" w:rsidR="00474F45" w:rsidRPr="00474F45" w:rsidRDefault="00E21BE6" w:rsidP="00D06FF6">
      <w:pPr>
        <w:spacing w:before="300"/>
      </w:pPr>
      <w:r>
        <w:t>Referencia: GUÍA DE SEGURIDAD (CCN-STIC-806) PLAN DE ADECUACION: https://www.ccn-cert.cni.es/publico/seriesCCN-STIC/series/800-Esquema_Nacional_de_Seguridad/806-Plan_adecuacion_ENS/806_ENS-adecuacion_ene- 11.pdf.</w:t>
      </w:r>
    </w:p>
    <w:p w14:paraId="454EC105" w14:textId="5B732B69" w:rsidR="00492F04" w:rsidRDefault="00492F04" w:rsidP="00D06FF6">
      <w:pPr>
        <w:pStyle w:val="Ttulo4"/>
        <w:spacing w:before="300"/>
      </w:pPr>
      <w:r w:rsidRPr="005C759B">
        <w:t>Análisis del cumplimiento / Análisis de GAP</w:t>
      </w:r>
    </w:p>
    <w:p w14:paraId="6C554757" w14:textId="1C14A84C" w:rsidR="00961DA8" w:rsidRDefault="00ED7D8E" w:rsidP="00D06FF6">
      <w:pPr>
        <w:spacing w:before="300"/>
      </w:pPr>
      <w:r>
        <w:t xml:space="preserve">En este servicio se solicita elaborar un documento que incluya las desviaciones respecto al cumplimiento de las </w:t>
      </w:r>
      <w:proofErr w:type="spellStart"/>
      <w:r>
        <w:t>medidas</w:t>
      </w:r>
      <w:proofErr w:type="spellEnd"/>
      <w:r>
        <w:t xml:space="preserve"> de </w:t>
      </w:r>
      <w:proofErr w:type="spellStart"/>
      <w:r>
        <w:t>seguridad</w:t>
      </w:r>
      <w:proofErr w:type="spellEnd"/>
      <w:r>
        <w:t xml:space="preserve"> que determina </w:t>
      </w:r>
      <w:r w:rsidR="00303374">
        <w:t xml:space="preserve">el </w:t>
      </w:r>
      <w:r>
        <w:t>ENS (</w:t>
      </w:r>
      <w:proofErr w:type="spellStart"/>
      <w:r>
        <w:t>anexo</w:t>
      </w:r>
      <w:proofErr w:type="spellEnd"/>
      <w:r>
        <w:t xml:space="preserve"> II), en este informe se mostrará cuál debería ser el estado de la seguridad óptimo comparado con la situación que se ha analizado.</w:t>
      </w:r>
    </w:p>
    <w:p w14:paraId="52F0AB24" w14:textId="28450FFA" w:rsidR="00275577" w:rsidRDefault="00275577" w:rsidP="00D06FF6">
      <w:pPr>
        <w:pStyle w:val="Ttulo4"/>
        <w:spacing w:before="300"/>
      </w:pPr>
      <w:r w:rsidRPr="004714E9">
        <w:t>Análisis de riesgos</w:t>
      </w:r>
    </w:p>
    <w:p w14:paraId="0242AA41" w14:textId="55CE69A3" w:rsidR="00A74423" w:rsidRDefault="00A74423" w:rsidP="00D06FF6">
      <w:pPr>
        <w:spacing w:before="300"/>
      </w:pPr>
      <w:r>
        <w:t>Por este servicio será necesario identificar los sistemas de información sujetos a riesgo y por cada uno habrá que evaluar las dimensiones de seguridad relevantes, el nivel de seguridad de cada dimensión identificada, la categoría de sistema de información y las medidas de seguridad en los sistemas, tanto organizativamente, como operativa y técnica.</w:t>
      </w:r>
    </w:p>
    <w:p w14:paraId="6F4F3B45" w14:textId="2229B19E" w:rsidR="00ED7D8E" w:rsidRDefault="00ED7D8E" w:rsidP="00D06FF6">
      <w:pPr>
        <w:spacing w:before="300"/>
      </w:pPr>
      <w:r>
        <w:lastRenderedPageBreak/>
        <w:t>La metodología a utilizar para la realización de la análisis de riesgos será, alguna reconocida internacionalmente, como por ejemplo MAGERIT V3.</w:t>
      </w:r>
    </w:p>
    <w:p w14:paraId="3C1759BF" w14:textId="17F175F2" w:rsidR="00A71EC3" w:rsidRPr="00BF5639" w:rsidRDefault="00E804BE" w:rsidP="00D06FF6">
      <w:pPr>
        <w:spacing w:before="300"/>
      </w:pPr>
      <w:r w:rsidRPr="00BF5639">
        <w:t xml:space="preserve">Para la realización de este servicio tendrán que utilizar las herramientas que el CCN-CERT ponga a disposición en este ámbito (PILAR, PILAR BASIC, micrópila, RMAT ...), u otras herramientas que las entidades puedan solicitar por desarrollo del servicio. La entidad determinará en la contratación del </w:t>
      </w:r>
      <w:proofErr w:type="spellStart"/>
      <w:r w:rsidRPr="00BF5639">
        <w:t>servicio</w:t>
      </w:r>
      <w:proofErr w:type="spellEnd"/>
      <w:r w:rsidRPr="00BF5639">
        <w:t xml:space="preserve"> la </w:t>
      </w:r>
      <w:proofErr w:type="spellStart"/>
      <w:r w:rsidRPr="00BF5639">
        <w:t>herramienta</w:t>
      </w:r>
      <w:proofErr w:type="spellEnd"/>
      <w:r w:rsidRPr="00BF5639">
        <w:t xml:space="preserve"> o </w:t>
      </w:r>
      <w:proofErr w:type="spellStart"/>
      <w:r w:rsidRPr="00BF5639">
        <w:t>herramientas</w:t>
      </w:r>
      <w:proofErr w:type="spellEnd"/>
      <w:r w:rsidRPr="00BF5639">
        <w:t xml:space="preserve"> a </w:t>
      </w:r>
      <w:proofErr w:type="spellStart"/>
      <w:r w:rsidRPr="00BF5639">
        <w:t>utilizar</w:t>
      </w:r>
      <w:proofErr w:type="spellEnd"/>
      <w:r w:rsidRPr="00BF5639">
        <w:t>.</w:t>
      </w:r>
    </w:p>
    <w:p w14:paraId="13D75239" w14:textId="5E87521C" w:rsidR="00275577" w:rsidRDefault="00275577" w:rsidP="00D06FF6">
      <w:pPr>
        <w:pStyle w:val="Ttulo4"/>
        <w:spacing w:before="300"/>
      </w:pPr>
      <w:r>
        <w:t>Procedimientos de seguridad</w:t>
      </w:r>
    </w:p>
    <w:p w14:paraId="39E6AEFC" w14:textId="5F892680" w:rsidR="00492F04" w:rsidRDefault="00275577" w:rsidP="00D06FF6">
      <w:pPr>
        <w:spacing w:before="300"/>
      </w:pPr>
      <w:r>
        <w:t xml:space="preserve">La Política de Seguridad es un documento escrito a un nivel muy amplio y general, de ahí que se requiere complementarla con documentos más precisos y detallados que ayuden a llevar a cabo el propuesto en la política a nivel general. </w:t>
      </w:r>
      <w:proofErr w:type="spellStart"/>
      <w:r>
        <w:t>Uno</w:t>
      </w:r>
      <w:proofErr w:type="spellEnd"/>
      <w:r>
        <w:t xml:space="preserve"> de los </w:t>
      </w:r>
      <w:proofErr w:type="spellStart"/>
      <w:r>
        <w:t>instrumentos</w:t>
      </w:r>
      <w:proofErr w:type="spellEnd"/>
      <w:r>
        <w:t xml:space="preserve"> </w:t>
      </w:r>
      <w:proofErr w:type="spellStart"/>
      <w:r>
        <w:t>usados</w:t>
      </w:r>
      <w:proofErr w:type="spellEnd"/>
      <w:r>
        <w:t xml:space="preserve"> son los </w:t>
      </w:r>
      <w:proofErr w:type="spellStart"/>
      <w:r>
        <w:t>procedimientos</w:t>
      </w:r>
      <w:proofErr w:type="spellEnd"/>
      <w:r>
        <w:t xml:space="preserve"> de </w:t>
      </w:r>
      <w:proofErr w:type="spellStart"/>
      <w:r>
        <w:t>seguridad</w:t>
      </w:r>
      <w:proofErr w:type="spellEnd"/>
      <w:r>
        <w:t>.</w:t>
      </w:r>
    </w:p>
    <w:p w14:paraId="53A417E6" w14:textId="2CCFC25F" w:rsidR="000F2F47" w:rsidRDefault="00492F04" w:rsidP="00D06FF6">
      <w:pPr>
        <w:spacing w:before="300"/>
      </w:pPr>
      <w:r>
        <w:t>Los Procedimientos de seguridad, son procedimientos operativos que contemplan tareas o actividades concretas, indicando lo que hay que hacer, paso a paso y son útiles en tareas rutinarias o repetitivas para evitar el olvido de pasos importantes.</w:t>
      </w:r>
    </w:p>
    <w:p w14:paraId="6C0F91D3" w14:textId="7942774E" w:rsidR="000F2F47" w:rsidRDefault="008F5305" w:rsidP="00D06FF6">
      <w:pPr>
        <w:spacing w:before="120" w:after="120"/>
      </w:pPr>
      <w:r>
        <w:t>Estos procedimientos deberán detallar, como mínimo, los siguientes puntos:</w:t>
      </w:r>
    </w:p>
    <w:p w14:paraId="486F0718" w14:textId="49B5BAD7" w:rsidR="000F2F47" w:rsidRDefault="000F2F47" w:rsidP="00D06FF6">
      <w:pPr>
        <w:pStyle w:val="Prrafodelista"/>
        <w:numPr>
          <w:ilvl w:val="0"/>
          <w:numId w:val="52"/>
        </w:numPr>
        <w:spacing w:before="120" w:after="120"/>
        <w:contextualSpacing w:val="0"/>
      </w:pPr>
      <w:r w:rsidRPr="000F2F47">
        <w:t>en qué condiciones se aplicará</w:t>
      </w:r>
    </w:p>
    <w:p w14:paraId="4761817F" w14:textId="0317159A" w:rsidR="000F2F47" w:rsidRDefault="000F2F47" w:rsidP="00D06FF6">
      <w:pPr>
        <w:pStyle w:val="Prrafodelista"/>
        <w:numPr>
          <w:ilvl w:val="0"/>
          <w:numId w:val="52"/>
        </w:numPr>
        <w:spacing w:before="120" w:after="120"/>
        <w:contextualSpacing w:val="0"/>
      </w:pPr>
      <w:r w:rsidRPr="000F2F47">
        <w:t>quién es el que tiene que hacerlo</w:t>
      </w:r>
    </w:p>
    <w:p w14:paraId="39286264" w14:textId="77777777" w:rsidR="000F2F47" w:rsidRDefault="000F2F47" w:rsidP="00D06FF6">
      <w:pPr>
        <w:pStyle w:val="Prrafodelista"/>
        <w:numPr>
          <w:ilvl w:val="0"/>
          <w:numId w:val="52"/>
        </w:numPr>
        <w:spacing w:before="120" w:after="120"/>
        <w:contextualSpacing w:val="0"/>
      </w:pPr>
      <w:r w:rsidRPr="000F2F47">
        <w:t>qué es lo que hay que hacer en cada momento, incluyendo el registro de la actividad realizada</w:t>
      </w:r>
    </w:p>
    <w:p w14:paraId="3158E6DB" w14:textId="6B7EB31E" w:rsidR="000F2F47" w:rsidRDefault="000F2F47" w:rsidP="00D06FF6">
      <w:pPr>
        <w:pStyle w:val="Prrafodelista"/>
        <w:numPr>
          <w:ilvl w:val="0"/>
          <w:numId w:val="52"/>
        </w:numPr>
        <w:spacing w:before="120" w:after="120"/>
        <w:contextualSpacing w:val="0"/>
      </w:pPr>
      <w:r w:rsidRPr="000F2F47">
        <w:t>como identificar situaciones anómalas y cuál es mecanismo para escalar la situación</w:t>
      </w:r>
    </w:p>
    <w:p w14:paraId="0F4E9935" w14:textId="76AA7504" w:rsidR="000F2F47" w:rsidRDefault="000F2F47" w:rsidP="00D06FF6">
      <w:pPr>
        <w:pStyle w:val="Prrafodelista"/>
        <w:numPr>
          <w:ilvl w:val="0"/>
          <w:numId w:val="52"/>
        </w:numPr>
        <w:spacing w:before="120"/>
        <w:ind w:left="1480" w:hanging="357"/>
        <w:contextualSpacing w:val="0"/>
      </w:pPr>
      <w:r w:rsidRPr="000F2F47">
        <w:t>como se reportan deficiencias en los procedimientos</w:t>
      </w:r>
    </w:p>
    <w:p w14:paraId="7AB26677" w14:textId="2B96F3DD" w:rsidR="005D4F44" w:rsidRDefault="00303374" w:rsidP="00E21BE6">
      <w:r>
        <w:rPr>
          <w:b/>
          <w:bCs/>
        </w:rPr>
        <w:t>R</w:t>
      </w:r>
      <w:r w:rsidR="000F2F47" w:rsidRPr="007251EF">
        <w:rPr>
          <w:b/>
          <w:bCs/>
        </w:rPr>
        <w:t>eferencia</w:t>
      </w:r>
      <w:r w:rsidR="000F2F47">
        <w:t xml:space="preserve">: GUÍA DE SEGURIDAD (CCN-STIC-822) ESQUEMA NACIONAL DE SEGURIDAD PROCEDIMIENTOS DE SEGURIDAD), </w:t>
      </w:r>
      <w:hyperlink r:id="rId14" w:history="1">
        <w:r w:rsidR="005D4F44" w:rsidRPr="00E21BE6">
          <w:rPr>
            <w:rStyle w:val="Hipervnculo"/>
            <w:i/>
            <w:iCs/>
          </w:rPr>
          <w:t>https://www.ccn-cert.cni.es/series-ccn-stic/800-guia-esquema-nacional-de-seguridad/537-ccn-stic-822-procedimientos-de-seguridad/file.html</w:t>
        </w:r>
      </w:hyperlink>
    </w:p>
    <w:p w14:paraId="1D30BD54" w14:textId="41C90B1B" w:rsidR="009C07B1" w:rsidRPr="006D2FB0" w:rsidRDefault="009C07B1" w:rsidP="00D06FF6">
      <w:pPr>
        <w:pStyle w:val="Ttulo4"/>
        <w:spacing w:before="300"/>
        <w:rPr>
          <w:rFonts w:ascii="Garamond" w:eastAsiaTheme="minorHAnsi" w:hAnsi="Garamond" w:cstheme="minorBidi"/>
          <w:b w:val="0"/>
          <w:iCs w:val="0"/>
          <w:sz w:val="24"/>
          <w:szCs w:val="22"/>
        </w:rPr>
      </w:pPr>
      <w:proofErr w:type="spellStart"/>
      <w:r w:rsidRPr="00D33895">
        <w:t>Auditoría</w:t>
      </w:r>
      <w:proofErr w:type="spellEnd"/>
      <w:r w:rsidRPr="00D33895">
        <w:t xml:space="preserve"> del ENS</w:t>
      </w:r>
    </w:p>
    <w:p w14:paraId="5669468F" w14:textId="7EE83F3D" w:rsidR="009C07B1" w:rsidRDefault="009C07B1" w:rsidP="00D06FF6">
      <w:pPr>
        <w:spacing w:before="120" w:after="120"/>
      </w:pPr>
      <w:r>
        <w:t>Como toda auditoría de sistemas de las tecnologías de la información, que incluye normalmente, los aspectos de seguridad de los sistemas, esta se deberá realizar de una forma metodológica que permita identificar claramente:</w:t>
      </w:r>
    </w:p>
    <w:p w14:paraId="676FD6A7" w14:textId="2A1891AB" w:rsidR="00755B70" w:rsidRDefault="00755B70" w:rsidP="00D06FF6">
      <w:pPr>
        <w:pStyle w:val="Prrafodelista"/>
        <w:numPr>
          <w:ilvl w:val="0"/>
          <w:numId w:val="62"/>
        </w:numPr>
        <w:spacing w:before="120" w:after="120"/>
        <w:contextualSpacing w:val="0"/>
      </w:pPr>
      <w:r>
        <w:t>El alcance y objetivo de la auditoría.</w:t>
      </w:r>
    </w:p>
    <w:p w14:paraId="0977ABA3" w14:textId="34C82499" w:rsidR="00755B70" w:rsidRDefault="009C07B1" w:rsidP="00D06FF6">
      <w:pPr>
        <w:pStyle w:val="Prrafodelista"/>
        <w:numPr>
          <w:ilvl w:val="0"/>
          <w:numId w:val="62"/>
        </w:numPr>
        <w:spacing w:before="120" w:after="120"/>
        <w:contextualSpacing w:val="0"/>
      </w:pPr>
      <w:r>
        <w:t>Los recursos necesarios y apropiados para realizar la auditoría (equipo auditor), siguiendo las recomendaciones de la guía mencionada en la referencia.</w:t>
      </w:r>
    </w:p>
    <w:p w14:paraId="01CA0CEB" w14:textId="09B4C9E9" w:rsidR="00755B70" w:rsidRDefault="009C07B1" w:rsidP="00D06FF6">
      <w:pPr>
        <w:pStyle w:val="Prrafodelista"/>
        <w:numPr>
          <w:ilvl w:val="0"/>
          <w:numId w:val="62"/>
        </w:numPr>
        <w:spacing w:before="120" w:after="120"/>
        <w:contextualSpacing w:val="0"/>
      </w:pPr>
      <w:r>
        <w:t>Las debidas comunicaciones con los responsables de la organización que soliciten la auditoría.</w:t>
      </w:r>
    </w:p>
    <w:p w14:paraId="711526DC" w14:textId="78A69A9D" w:rsidR="00755B70" w:rsidRDefault="009C07B1" w:rsidP="00D06FF6">
      <w:pPr>
        <w:pStyle w:val="Prrafodelista"/>
        <w:numPr>
          <w:ilvl w:val="0"/>
          <w:numId w:val="62"/>
        </w:numPr>
        <w:spacing w:before="120" w:after="120"/>
        <w:contextualSpacing w:val="0"/>
      </w:pPr>
      <w:r>
        <w:lastRenderedPageBreak/>
        <w:t>La planificación preliminar o requisitos de información previos al desarrollo del plan de auditoría, ya la ejecución de las pruebas que se consideren necesarias.</w:t>
      </w:r>
    </w:p>
    <w:p w14:paraId="07FD7B2B" w14:textId="5433B526" w:rsidR="00755B70" w:rsidRDefault="009C07B1" w:rsidP="00D06FF6">
      <w:pPr>
        <w:pStyle w:val="Prrafodelista"/>
        <w:numPr>
          <w:ilvl w:val="0"/>
          <w:numId w:val="62"/>
        </w:numPr>
        <w:spacing w:before="120" w:after="120"/>
        <w:contextualSpacing w:val="0"/>
      </w:pPr>
      <w:r>
        <w:t>El establecimiento de un plan de auditoría detallado con las actividades, revisiones y pruebas de auditoría previstas.</w:t>
      </w:r>
    </w:p>
    <w:p w14:paraId="15894268" w14:textId="20C9C0C5" w:rsidR="00755B70" w:rsidRDefault="009C07B1" w:rsidP="00D06FF6">
      <w:pPr>
        <w:pStyle w:val="Prrafodelista"/>
        <w:numPr>
          <w:ilvl w:val="0"/>
          <w:numId w:val="62"/>
        </w:numPr>
        <w:spacing w:before="120" w:after="120"/>
        <w:contextualSpacing w:val="0"/>
      </w:pPr>
      <w:r>
        <w:t>La presentación, los resultados individuales de las pruebas, a las personas involucradas con estos resultados, para su confirmación sin valoraciones con respecto a los resultados finales.</w:t>
      </w:r>
    </w:p>
    <w:p w14:paraId="3E8B0EC2" w14:textId="6499EA32" w:rsidR="00755B70" w:rsidRDefault="009C07B1" w:rsidP="00D06FF6">
      <w:pPr>
        <w:pStyle w:val="Prrafodelista"/>
        <w:numPr>
          <w:ilvl w:val="0"/>
          <w:numId w:val="62"/>
        </w:numPr>
        <w:spacing w:before="120" w:after="120"/>
        <w:contextualSpacing w:val="0"/>
      </w:pPr>
      <w:r>
        <w:t>La evaluación global de los resultados de la auditoría en relación al objetivo y alcance definidos y los requisitos del RD 3/2010.</w:t>
      </w:r>
    </w:p>
    <w:p w14:paraId="466399AB" w14:textId="48130EA9" w:rsidR="009C07B1" w:rsidRDefault="009C07B1" w:rsidP="00D06FF6">
      <w:pPr>
        <w:pStyle w:val="Prrafodelista"/>
        <w:numPr>
          <w:ilvl w:val="0"/>
          <w:numId w:val="62"/>
        </w:numPr>
        <w:spacing w:before="120"/>
        <w:ind w:left="714" w:hanging="357"/>
        <w:contextualSpacing w:val="0"/>
      </w:pPr>
      <w:r>
        <w:t>La confección, presentación y emisión formal del Informe de Auditoría.</w:t>
      </w:r>
    </w:p>
    <w:p w14:paraId="0BD55189" w14:textId="58BBD330" w:rsidR="00755B70" w:rsidRPr="009C07B1" w:rsidRDefault="00303374" w:rsidP="00A22BAA">
      <w:r>
        <w:rPr>
          <w:b/>
          <w:bCs/>
        </w:rPr>
        <w:t>R</w:t>
      </w:r>
      <w:r w:rsidR="00755B70" w:rsidRPr="00A22BAA">
        <w:rPr>
          <w:b/>
          <w:bCs/>
        </w:rPr>
        <w:t>eferencia</w:t>
      </w:r>
      <w:r w:rsidR="00755B70">
        <w:t xml:space="preserve">: </w:t>
      </w:r>
      <w:proofErr w:type="spellStart"/>
      <w:r w:rsidR="00755B70">
        <w:t>Guía</w:t>
      </w:r>
      <w:proofErr w:type="spellEnd"/>
      <w:r w:rsidR="00755B70">
        <w:t xml:space="preserve"> de Seguridad de las TIC CCN-STIC 802 NOS. </w:t>
      </w:r>
      <w:proofErr w:type="spellStart"/>
      <w:r w:rsidR="00755B70">
        <w:t>Guía</w:t>
      </w:r>
      <w:proofErr w:type="spellEnd"/>
      <w:r w:rsidR="00755B70">
        <w:t xml:space="preserve"> de </w:t>
      </w:r>
      <w:proofErr w:type="spellStart"/>
      <w:r w:rsidR="00755B70">
        <w:t>auditoría</w:t>
      </w:r>
      <w:proofErr w:type="spellEnd"/>
      <w:r w:rsidR="00755B70">
        <w:t>, https://www.ccn-cert.cni.es/series-ccn-stic/800-guia-esquema-nacional-de-seguridad/502-ccn-stic-802-auditoria-del-ens/ file.html</w:t>
      </w:r>
    </w:p>
    <w:p w14:paraId="792F2D5E" w14:textId="063F15D2" w:rsidR="002E25FE" w:rsidRPr="000A164D" w:rsidRDefault="002E25FE" w:rsidP="00D06FF6">
      <w:pPr>
        <w:pStyle w:val="Ttulo4"/>
        <w:spacing w:before="300"/>
      </w:pPr>
      <w:r w:rsidRPr="000A164D">
        <w:t>Acompañamiento Certificación del ENS</w:t>
      </w:r>
    </w:p>
    <w:p w14:paraId="5BBE5FFE" w14:textId="30ED40B0" w:rsidR="001A37CE" w:rsidRPr="001A37CE" w:rsidRDefault="00701D2F" w:rsidP="00D06FF6">
      <w:pPr>
        <w:spacing w:before="300"/>
        <w:rPr>
          <w:highlight w:val="yellow"/>
        </w:rPr>
      </w:pPr>
      <w:r w:rsidRPr="00701D2F">
        <w:t xml:space="preserve">Como </w:t>
      </w:r>
      <w:proofErr w:type="spellStart"/>
      <w:r w:rsidRPr="00701D2F">
        <w:t>resultado</w:t>
      </w:r>
      <w:proofErr w:type="spellEnd"/>
      <w:r w:rsidRPr="00701D2F">
        <w:t xml:space="preserve"> de un </w:t>
      </w:r>
      <w:proofErr w:type="spellStart"/>
      <w:r w:rsidRPr="00701D2F">
        <w:t>proceso</w:t>
      </w:r>
      <w:proofErr w:type="spellEnd"/>
      <w:r w:rsidRPr="00701D2F">
        <w:t xml:space="preserve"> de </w:t>
      </w:r>
      <w:proofErr w:type="spellStart"/>
      <w:r w:rsidRPr="00701D2F">
        <w:t>auditoría</w:t>
      </w:r>
      <w:proofErr w:type="spellEnd"/>
      <w:r w:rsidRPr="00701D2F">
        <w:t xml:space="preserve"> del ENS las </w:t>
      </w:r>
      <w:proofErr w:type="spellStart"/>
      <w:r w:rsidRPr="00701D2F">
        <w:t>entidades</w:t>
      </w:r>
      <w:proofErr w:type="spellEnd"/>
      <w:r w:rsidRPr="00701D2F">
        <w:t xml:space="preserve"> </w:t>
      </w:r>
      <w:proofErr w:type="spellStart"/>
      <w:r w:rsidRPr="00701D2F">
        <w:t>podrán</w:t>
      </w:r>
      <w:proofErr w:type="spellEnd"/>
      <w:r w:rsidRPr="00701D2F">
        <w:t xml:space="preserve"> </w:t>
      </w:r>
      <w:proofErr w:type="spellStart"/>
      <w:r w:rsidRPr="00701D2F">
        <w:t>solicitar</w:t>
      </w:r>
      <w:proofErr w:type="spellEnd"/>
      <w:r w:rsidRPr="00701D2F">
        <w:t xml:space="preserve"> como servicio el acompañamiento para lograr la certificación de los sistemas de información y los servicios prestados a través de estos que la entidad haya identificado que deben adecuarse a la ENS.</w:t>
      </w:r>
    </w:p>
    <w:p w14:paraId="05916E6D" w14:textId="1A14BF3F" w:rsidR="00BF74B9" w:rsidRPr="003F1558" w:rsidRDefault="00BF74B9" w:rsidP="00D06FF6">
      <w:pPr>
        <w:pStyle w:val="Ttulo4"/>
        <w:spacing w:before="300"/>
      </w:pPr>
      <w:r w:rsidRPr="003F1558">
        <w:t xml:space="preserve">Formación sobre los procesos </w:t>
      </w:r>
      <w:proofErr w:type="spellStart"/>
      <w:r w:rsidRPr="003F1558">
        <w:t>asociados</w:t>
      </w:r>
      <w:proofErr w:type="spellEnd"/>
      <w:r w:rsidRPr="003F1558">
        <w:t xml:space="preserve"> a la </w:t>
      </w:r>
      <w:proofErr w:type="spellStart"/>
      <w:r w:rsidRPr="003F1558">
        <w:t>gestión</w:t>
      </w:r>
      <w:proofErr w:type="spellEnd"/>
      <w:r w:rsidRPr="003F1558">
        <w:t xml:space="preserve"> del ENS.</w:t>
      </w:r>
    </w:p>
    <w:p w14:paraId="08BEE86F" w14:textId="0C4E5879" w:rsidR="00492F04" w:rsidRDefault="003F1558" w:rsidP="00D06FF6">
      <w:pPr>
        <w:spacing w:before="300"/>
      </w:pPr>
      <w:r>
        <w:t xml:space="preserve">Para garantizar que el personal de la entidad se alinea y toma </w:t>
      </w:r>
      <w:proofErr w:type="spellStart"/>
      <w:r>
        <w:t>conciencia</w:t>
      </w:r>
      <w:proofErr w:type="spellEnd"/>
      <w:r>
        <w:t xml:space="preserve"> de los </w:t>
      </w:r>
      <w:proofErr w:type="spellStart"/>
      <w:r>
        <w:t>procesos</w:t>
      </w:r>
      <w:proofErr w:type="spellEnd"/>
      <w:r>
        <w:t xml:space="preserve"> </w:t>
      </w:r>
      <w:proofErr w:type="spellStart"/>
      <w:r>
        <w:t>asociados</w:t>
      </w:r>
      <w:proofErr w:type="spellEnd"/>
      <w:r>
        <w:t xml:space="preserve"> al ENS, las </w:t>
      </w:r>
      <w:proofErr w:type="spellStart"/>
      <w:r>
        <w:t>entidades</w:t>
      </w:r>
      <w:proofErr w:type="spellEnd"/>
      <w:r>
        <w:t xml:space="preserve"> </w:t>
      </w:r>
      <w:proofErr w:type="spellStart"/>
      <w:r>
        <w:t>podrán</w:t>
      </w:r>
      <w:proofErr w:type="spellEnd"/>
      <w:r>
        <w:t xml:space="preserve"> </w:t>
      </w:r>
      <w:proofErr w:type="spellStart"/>
      <w:r>
        <w:t>solicitar</w:t>
      </w:r>
      <w:proofErr w:type="spellEnd"/>
      <w:r>
        <w:t xml:space="preserve"> la impartición de </w:t>
      </w:r>
      <w:proofErr w:type="spellStart"/>
      <w:r>
        <w:t>formaciones</w:t>
      </w:r>
      <w:proofErr w:type="spellEnd"/>
      <w:r>
        <w:t xml:space="preserve"> a </w:t>
      </w:r>
      <w:proofErr w:type="spellStart"/>
      <w:r>
        <w:t>diferentes</w:t>
      </w:r>
      <w:proofErr w:type="spellEnd"/>
      <w:r>
        <w:t xml:space="preserve"> </w:t>
      </w:r>
      <w:proofErr w:type="spellStart"/>
      <w:r>
        <w:t>niveles</w:t>
      </w:r>
      <w:proofErr w:type="spellEnd"/>
      <w:r>
        <w:t xml:space="preserve"> y para </w:t>
      </w:r>
      <w:proofErr w:type="spellStart"/>
      <w:r>
        <w:t>diferentes</w:t>
      </w:r>
      <w:proofErr w:type="spellEnd"/>
      <w:r>
        <w:t xml:space="preserve"> perfiles de </w:t>
      </w:r>
      <w:proofErr w:type="spellStart"/>
      <w:r>
        <w:t>usuarios</w:t>
      </w:r>
      <w:proofErr w:type="spellEnd"/>
      <w:r>
        <w:t>.</w:t>
      </w:r>
    </w:p>
    <w:p w14:paraId="7C5DD1F8" w14:textId="37FFB00D" w:rsidR="00D30CFB" w:rsidRPr="003612DD" w:rsidRDefault="00D30CFB" w:rsidP="00D06FF6">
      <w:pPr>
        <w:pStyle w:val="Ttulo2"/>
        <w:spacing w:before="300"/>
      </w:pPr>
      <w:bookmarkStart w:id="26" w:name="_Toc55920788"/>
      <w:r>
        <w:t>3.2 Relación de servicios y requisitos dentro del ámbito de la ISO 27001</w:t>
      </w:r>
      <w:bookmarkEnd w:id="26"/>
    </w:p>
    <w:p w14:paraId="56117E8C" w14:textId="6D95FCCB" w:rsidR="005D2956" w:rsidRDefault="005D2956" w:rsidP="005D2956">
      <w:r w:rsidRPr="003612DD">
        <w:t>A continuación se relacionan los servicios que se solicitan en el Lote 1, en cuanto a la ISO 27001 y que de forma obligatoria deberán ser incluidos en la propuesta presentada por el licitador.</w:t>
      </w:r>
    </w:p>
    <w:p w14:paraId="6B31B913" w14:textId="65F37184" w:rsidR="00A50022" w:rsidRDefault="00A016EF" w:rsidP="00A016EF">
      <w:r>
        <w:t>La ISO 27001 es una norma internacional certificable y de carácter voluntario para cualquier sistema de gestión de seguridad de la información. Para dar evidencias de su cumplimiento es necesario llevar a cabo una certificación, emitida por un auditor autorizado con auditoría previa con resultado satisfactorio.</w:t>
      </w:r>
    </w:p>
    <w:p w14:paraId="0D778F35" w14:textId="147C4334" w:rsidR="007F5CC6" w:rsidRDefault="00B92996" w:rsidP="00EF66E7">
      <w:r>
        <w:t>Por lo tanto para este ámbito se solicita el apoyo de consultoría para la adecuación de sus Sistemas de Información para superar la certificación ISO-27001: 2013.</w:t>
      </w:r>
    </w:p>
    <w:p w14:paraId="4C5C67EA" w14:textId="414E1053" w:rsidR="00392961" w:rsidRDefault="007F5CC6" w:rsidP="00EF66E7">
      <w:r>
        <w:t>Este servicio de consultoría debe llevar a cabo la revisión de los controles de la norma tomando como referencia las buenas prácticas y recomendaciones de la ISO 27002 para la implementación de la norma 27001 que es la norma a certificar.</w:t>
      </w:r>
    </w:p>
    <w:p w14:paraId="7E424ED3" w14:textId="4E07D7DD" w:rsidR="00D30CFB" w:rsidRPr="003612DD" w:rsidRDefault="00D30CFB" w:rsidP="00D06FF6">
      <w:pPr>
        <w:pStyle w:val="Ttulo2"/>
        <w:spacing w:before="300"/>
      </w:pPr>
      <w:bookmarkStart w:id="27" w:name="_Toc55920789"/>
      <w:r>
        <w:lastRenderedPageBreak/>
        <w:t>3.3 Otros servicios comunes</w:t>
      </w:r>
      <w:bookmarkEnd w:id="27"/>
    </w:p>
    <w:p w14:paraId="5C8DF1FE" w14:textId="304A79EE" w:rsidR="00E370C7" w:rsidRDefault="004D46F4" w:rsidP="00E370C7">
      <w:proofErr w:type="spellStart"/>
      <w:r>
        <w:t>Tanto</w:t>
      </w:r>
      <w:proofErr w:type="spellEnd"/>
      <w:r>
        <w:t xml:space="preserve"> en el </w:t>
      </w:r>
      <w:proofErr w:type="spellStart"/>
      <w:r>
        <w:t>ámbito</w:t>
      </w:r>
      <w:proofErr w:type="spellEnd"/>
      <w:r>
        <w:t xml:space="preserve"> del ENS como de la ISO27001 las entidades podrán solicitar diferentes acciones y planes de concienciación para su personal, en función de la audiencia y perfil de usuarios.</w:t>
      </w:r>
    </w:p>
    <w:p w14:paraId="01A90FF5" w14:textId="5A91A27D" w:rsidR="00EF66E7" w:rsidRPr="00296373" w:rsidRDefault="00E518D1" w:rsidP="00BF74B9">
      <w:r w:rsidRPr="00296373">
        <w:t xml:space="preserve">Las entidades también podrán </w:t>
      </w:r>
      <w:proofErr w:type="spellStart"/>
      <w:r w:rsidRPr="00296373">
        <w:t>solicitar</w:t>
      </w:r>
      <w:proofErr w:type="spellEnd"/>
      <w:r w:rsidRPr="00296373">
        <w:t xml:space="preserve"> en los </w:t>
      </w:r>
      <w:proofErr w:type="spellStart"/>
      <w:r w:rsidRPr="00296373">
        <w:t>basados</w:t>
      </w:r>
      <w:proofErr w:type="spellEnd"/>
      <w:r w:rsidRPr="00296373">
        <w:t xml:space="preserve"> </w:t>
      </w:r>
      <w:proofErr w:type="spellStart"/>
      <w:r w:rsidRPr="00296373">
        <w:t>otros</w:t>
      </w:r>
      <w:proofErr w:type="spellEnd"/>
      <w:r w:rsidRPr="00296373">
        <w:t xml:space="preserve"> </w:t>
      </w:r>
      <w:proofErr w:type="spellStart"/>
      <w:r w:rsidRPr="00296373">
        <w:t>servicios</w:t>
      </w:r>
      <w:proofErr w:type="spellEnd"/>
      <w:r w:rsidRPr="00296373">
        <w:t xml:space="preserve"> </w:t>
      </w:r>
      <w:proofErr w:type="spellStart"/>
      <w:r w:rsidRPr="00296373">
        <w:t>complementarios</w:t>
      </w:r>
      <w:proofErr w:type="spellEnd"/>
      <w:r w:rsidRPr="00296373">
        <w:t xml:space="preserve"> no incluidos en los especificados en los requisitos mínimos, siempre que estén </w:t>
      </w:r>
      <w:proofErr w:type="spellStart"/>
      <w:r w:rsidRPr="00296373">
        <w:t>relacionados</w:t>
      </w:r>
      <w:proofErr w:type="spellEnd"/>
      <w:r w:rsidRPr="00296373">
        <w:t xml:space="preserve"> con el </w:t>
      </w:r>
      <w:proofErr w:type="spellStart"/>
      <w:r w:rsidRPr="00296373">
        <w:t>objeto</w:t>
      </w:r>
      <w:proofErr w:type="spellEnd"/>
      <w:r w:rsidRPr="00296373">
        <w:t xml:space="preserve"> de este </w:t>
      </w:r>
      <w:proofErr w:type="spellStart"/>
      <w:r w:rsidRPr="00296373">
        <w:t>lote</w:t>
      </w:r>
      <w:proofErr w:type="spellEnd"/>
      <w:r w:rsidRPr="00296373">
        <w:t>.</w:t>
      </w:r>
    </w:p>
    <w:p w14:paraId="663D0545" w14:textId="20138E6C" w:rsidR="00E518D1" w:rsidRDefault="00FF033B" w:rsidP="00BF74B9">
      <w:r w:rsidRPr="00296373">
        <w:t xml:space="preserve">En el cálculo del precio del servicio se usará el número de horas previstas en función de los perfiles del equipo de trabajo que participe en la realización de los servicios </w:t>
      </w:r>
      <w:proofErr w:type="spellStart"/>
      <w:r w:rsidRPr="00296373">
        <w:t>solicitados</w:t>
      </w:r>
      <w:proofErr w:type="spellEnd"/>
      <w:r w:rsidRPr="00296373">
        <w:t xml:space="preserve"> en los </w:t>
      </w:r>
      <w:proofErr w:type="spellStart"/>
      <w:r w:rsidRPr="00296373">
        <w:t>basados</w:t>
      </w:r>
      <w:proofErr w:type="spellEnd"/>
      <w:r w:rsidRPr="00296373">
        <w:t xml:space="preserve"> </w:t>
      </w:r>
      <w:proofErr w:type="spellStart"/>
      <w:r w:rsidRPr="00296373">
        <w:t>mencionados</w:t>
      </w:r>
      <w:proofErr w:type="spellEnd"/>
      <w:r w:rsidRPr="00296373">
        <w:t>.</w:t>
      </w:r>
    </w:p>
    <w:p w14:paraId="69E039CB" w14:textId="77777777" w:rsidR="004776B0" w:rsidRDefault="004776B0" w:rsidP="003A37EB">
      <w:pPr>
        <w:pStyle w:val="Ttulo1"/>
        <w:numPr>
          <w:ilvl w:val="0"/>
          <w:numId w:val="4"/>
        </w:numPr>
      </w:pPr>
      <w:bookmarkStart w:id="28" w:name="_Toc55920790"/>
      <w:bookmarkStart w:id="29" w:name="_Toc457432656"/>
      <w:bookmarkStart w:id="30" w:name="_Toc462997547"/>
      <w:r w:rsidRPr="003612DD">
        <w:t>LOTE 2. Servicios de Protección de Datos</w:t>
      </w:r>
      <w:bookmarkEnd w:id="28"/>
    </w:p>
    <w:p w14:paraId="5A16005A" w14:textId="77777777" w:rsidR="004776B0" w:rsidRPr="001B205D" w:rsidRDefault="004776B0" w:rsidP="004776B0">
      <w:r w:rsidRPr="001B205D">
        <w:t>Este lote contempla aquellos servicios en materia de protección de datos que tienen como objetivo la prestación de un servicio concreto y que tienen como objetivo la realización de una tarea concreta y la entrega de un documento / informe resultante de su ejecución.</w:t>
      </w:r>
    </w:p>
    <w:p w14:paraId="19187435" w14:textId="77777777" w:rsidR="004776B0" w:rsidRPr="001B205D" w:rsidRDefault="004776B0" w:rsidP="004776B0">
      <w:r w:rsidRPr="001B205D">
        <w:t>Los servicios contemplados en este lote requieren de la participación de un equipo por parte del proveedor donde se pueden requerir competencias jurídicas, técnicas o de gestión.</w:t>
      </w:r>
    </w:p>
    <w:p w14:paraId="5A2EE43A" w14:textId="77777777" w:rsidR="004776B0" w:rsidRPr="001B205D" w:rsidRDefault="004776B0" w:rsidP="00D06FF6">
      <w:pPr>
        <w:pStyle w:val="Ttulo2"/>
        <w:spacing w:before="300"/>
      </w:pPr>
      <w:bookmarkStart w:id="31" w:name="_Toc55920791"/>
      <w:r w:rsidRPr="001B205D">
        <w:t>4.1 Relación de servicios y requisitos</w:t>
      </w:r>
      <w:bookmarkEnd w:id="31"/>
    </w:p>
    <w:p w14:paraId="53F67024" w14:textId="77777777" w:rsidR="004776B0" w:rsidRPr="001B205D" w:rsidRDefault="004776B0" w:rsidP="00D06FF6">
      <w:pPr>
        <w:spacing w:before="120" w:after="120"/>
      </w:pPr>
      <w:r w:rsidRPr="001B205D">
        <w:t>A continuación se relacionan los servicios que se solicitan en el Lote 2 y que de forma obligatoria deberán ser incluidos en la propuesta presentada por el licitador:</w:t>
      </w:r>
    </w:p>
    <w:p w14:paraId="30390493" w14:textId="56D4F315" w:rsidR="004776B0" w:rsidRDefault="004776B0" w:rsidP="00D06FF6">
      <w:pPr>
        <w:pStyle w:val="Prrafodelista"/>
        <w:numPr>
          <w:ilvl w:val="0"/>
          <w:numId w:val="42"/>
        </w:numPr>
        <w:spacing w:before="120" w:after="120"/>
        <w:contextualSpacing w:val="0"/>
      </w:pPr>
      <w:r w:rsidRPr="001B205D">
        <w:t>Desarrollo de evaluaciones de impacto (PIA)</w:t>
      </w:r>
    </w:p>
    <w:p w14:paraId="21911F57" w14:textId="77777777" w:rsidR="0040582E" w:rsidRDefault="00E2508C" w:rsidP="00D06FF6">
      <w:pPr>
        <w:pStyle w:val="Prrafodelista"/>
        <w:numPr>
          <w:ilvl w:val="0"/>
          <w:numId w:val="42"/>
        </w:numPr>
        <w:spacing w:before="120" w:after="120"/>
        <w:contextualSpacing w:val="0"/>
      </w:pPr>
      <w:r w:rsidRPr="001B205D">
        <w:t>Procedimiento de ejecución del PIA</w:t>
      </w:r>
    </w:p>
    <w:p w14:paraId="167139AC" w14:textId="26E10532" w:rsidR="004776B0" w:rsidRPr="001B205D" w:rsidRDefault="004776B0" w:rsidP="00D06FF6">
      <w:pPr>
        <w:pStyle w:val="Prrafodelista"/>
        <w:numPr>
          <w:ilvl w:val="0"/>
          <w:numId w:val="42"/>
        </w:numPr>
        <w:spacing w:before="120" w:after="120"/>
        <w:contextualSpacing w:val="0"/>
      </w:pPr>
      <w:r w:rsidRPr="001B205D">
        <w:t>Auditorías de protección de Datos</w:t>
      </w:r>
    </w:p>
    <w:p w14:paraId="23ECFC31" w14:textId="67571FC3" w:rsidR="00F221D1" w:rsidRDefault="004776B0" w:rsidP="00D06FF6">
      <w:pPr>
        <w:pStyle w:val="Prrafodelista"/>
        <w:numPr>
          <w:ilvl w:val="0"/>
          <w:numId w:val="42"/>
        </w:numPr>
        <w:tabs>
          <w:tab w:val="left" w:pos="1134"/>
        </w:tabs>
        <w:spacing w:before="120" w:after="120"/>
        <w:ind w:firstLine="0"/>
        <w:contextualSpacing w:val="0"/>
      </w:pPr>
      <w:r w:rsidRPr="001B205D">
        <w:t>Informe de situación protección de datos</w:t>
      </w:r>
    </w:p>
    <w:p w14:paraId="2C093CC6" w14:textId="5593ADFB" w:rsidR="00E2508C" w:rsidRDefault="00E2508C" w:rsidP="00D06FF6">
      <w:pPr>
        <w:pStyle w:val="Prrafodelista"/>
        <w:numPr>
          <w:ilvl w:val="0"/>
          <w:numId w:val="42"/>
        </w:numPr>
        <w:tabs>
          <w:tab w:val="left" w:pos="1134"/>
        </w:tabs>
        <w:spacing w:before="120" w:after="120"/>
        <w:ind w:firstLine="0"/>
        <w:contextualSpacing w:val="0"/>
      </w:pPr>
      <w:r w:rsidRPr="00E2508C">
        <w:t>Marco de seguridad para la protección de datos</w:t>
      </w:r>
    </w:p>
    <w:p w14:paraId="43B6137E" w14:textId="77777777" w:rsidR="00F221D1" w:rsidRDefault="00F221D1" w:rsidP="00D06FF6">
      <w:pPr>
        <w:pStyle w:val="Prrafodelista"/>
        <w:numPr>
          <w:ilvl w:val="0"/>
          <w:numId w:val="42"/>
        </w:numPr>
        <w:spacing w:before="120" w:after="120"/>
        <w:contextualSpacing w:val="0"/>
      </w:pPr>
      <w:r>
        <w:t>Modelo de cumplimiento de las garantías de los derechos digitales</w:t>
      </w:r>
    </w:p>
    <w:p w14:paraId="57CCFEC4" w14:textId="544B97F2" w:rsidR="00E2508C" w:rsidRDefault="00E2508C" w:rsidP="00D06FF6">
      <w:pPr>
        <w:pStyle w:val="Ttulo4"/>
        <w:spacing w:before="300"/>
      </w:pPr>
      <w:r>
        <w:t>Desarrollo de evaluaciones de impacto (PIA)</w:t>
      </w:r>
    </w:p>
    <w:p w14:paraId="6E569571" w14:textId="77777777" w:rsidR="00E2508C" w:rsidRDefault="00E2508C" w:rsidP="00E2508C">
      <w:r>
        <w:t xml:space="preserve">El desarrollo de los PIA se deberá llevar a cabo según la "Guía práctica sobre la evaluación de impacto relativa a la protección de datos" de la Autoridad Catalana de Protección de Datos siguiendo el modelo plantilla de la autoridad o de la "Guía práctica para las Evaluaciones de Impacto en la Protección de los datos sujetas al RGPD" del la Autoridad Española de Protección de Datos. En el contrato basado podrá determinar cuál de estas debe cumplir o si por el contrario se requiere el uso del modelo de la </w:t>
      </w:r>
      <w:proofErr w:type="spellStart"/>
      <w:r>
        <w:t>propia</w:t>
      </w:r>
      <w:proofErr w:type="spellEnd"/>
      <w:r>
        <w:t xml:space="preserve"> </w:t>
      </w:r>
      <w:proofErr w:type="spellStart"/>
      <w:r>
        <w:t>institución</w:t>
      </w:r>
      <w:proofErr w:type="spellEnd"/>
      <w:r>
        <w:t xml:space="preserve"> que </w:t>
      </w:r>
      <w:proofErr w:type="spellStart"/>
      <w:r>
        <w:t>realiza</w:t>
      </w:r>
      <w:proofErr w:type="spellEnd"/>
      <w:r>
        <w:t xml:space="preserve"> el </w:t>
      </w:r>
      <w:proofErr w:type="spellStart"/>
      <w:r>
        <w:t>contrato</w:t>
      </w:r>
      <w:proofErr w:type="spellEnd"/>
      <w:r>
        <w:t xml:space="preserve"> </w:t>
      </w:r>
      <w:proofErr w:type="spellStart"/>
      <w:r>
        <w:t>basado</w:t>
      </w:r>
      <w:proofErr w:type="spellEnd"/>
      <w:r>
        <w:t>.</w:t>
      </w:r>
    </w:p>
    <w:p w14:paraId="0AB01401" w14:textId="77777777" w:rsidR="00E2508C" w:rsidRDefault="00E2508C" w:rsidP="00E2508C">
      <w:r>
        <w:lastRenderedPageBreak/>
        <w:t>Son parte intrínseca del desarrollo del PIA el establecimiento del principio de licitud, el análisis de necesidad y proporcionalidad y el análisis de riesgos. No se considerará cumplido el encargo si éste no determina claramente estos aspectos.</w:t>
      </w:r>
    </w:p>
    <w:p w14:paraId="1FFC18E5" w14:textId="77777777" w:rsidR="00E2508C" w:rsidRDefault="00E2508C" w:rsidP="00D06FF6">
      <w:pPr>
        <w:spacing w:before="120" w:after="120"/>
      </w:pPr>
      <w:r>
        <w:t>referencias:</w:t>
      </w:r>
    </w:p>
    <w:p w14:paraId="2553DB51" w14:textId="53767F62" w:rsidR="00E2508C" w:rsidRDefault="00E2508C" w:rsidP="00D06FF6">
      <w:pPr>
        <w:pStyle w:val="Prrafodelista"/>
        <w:numPr>
          <w:ilvl w:val="0"/>
          <w:numId w:val="59"/>
        </w:numPr>
        <w:spacing w:before="120" w:after="120"/>
        <w:contextualSpacing w:val="0"/>
      </w:pPr>
      <w:r>
        <w:t>https://apdcat.gencat.cat/ca/documentacio/guies_basiques/Guies-apdcat/Guia-sobre-la-evaluacion-de-impacto-relativa-a-la-proteccion-de-datos-en-el-RGPD/</w:t>
      </w:r>
    </w:p>
    <w:p w14:paraId="3FF21B6B" w14:textId="0702CCC5" w:rsidR="00E2508C" w:rsidRDefault="00E2508C" w:rsidP="00D06FF6">
      <w:pPr>
        <w:pStyle w:val="Prrafodelista"/>
        <w:numPr>
          <w:ilvl w:val="0"/>
          <w:numId w:val="59"/>
        </w:numPr>
        <w:spacing w:before="120"/>
        <w:ind w:left="714" w:hanging="357"/>
        <w:contextualSpacing w:val="0"/>
      </w:pPr>
      <w:r>
        <w:t>https://www.aepd.es/sites/default/files/2019-09/guia-evaluaciones-de-impacto-rgpd.pdf</w:t>
      </w:r>
    </w:p>
    <w:p w14:paraId="1F6BCE1F" w14:textId="7F63483A" w:rsidR="00E2508C" w:rsidRDefault="00E2508C" w:rsidP="00E2508C">
      <w:r>
        <w:t>Será de especial consideración la especificidad del PIA los aspectos detallados en el punto 2.3 del presente pliego para su contratación del servicio fuera del acuerdo marco.</w:t>
      </w:r>
    </w:p>
    <w:p w14:paraId="4612A5DF" w14:textId="024FD23B" w:rsidR="00E2508C" w:rsidRDefault="00E2508C" w:rsidP="004210A8">
      <w:pPr>
        <w:pStyle w:val="Ttulo4"/>
      </w:pPr>
      <w:r>
        <w:t>Procedimiento de ejecución del PIA</w:t>
      </w:r>
    </w:p>
    <w:p w14:paraId="54723939" w14:textId="77777777" w:rsidR="00E2508C" w:rsidRDefault="00E2508C" w:rsidP="00E2508C">
      <w:r>
        <w:t>El desarrollo de ejecución del PIA implicará en la definición de los procedimientos, adaptados a la institución que realiza el contrato basado.</w:t>
      </w:r>
    </w:p>
    <w:p w14:paraId="3D0A180C" w14:textId="77777777" w:rsidR="00E2508C" w:rsidRDefault="00E2508C" w:rsidP="00E2508C">
      <w:r>
        <w:t>Estos procedimientos deberán ser compatibles con los guías de referencia de APDCAT y AEPD por el desarrollo de los PIA.</w:t>
      </w:r>
    </w:p>
    <w:p w14:paraId="6592B1FB" w14:textId="11766262" w:rsidR="00E2508C" w:rsidRDefault="00E2508C" w:rsidP="00E2508C">
      <w:r>
        <w:t>La ejecución de este servicio, puede implicar, la necesidad de entrega de materiales específicos, como plantillas de documentos, así como de material adicional que permita la ejecución rápida de análisis de riesgos (Excelso o similares adaptados a la institución)</w:t>
      </w:r>
    </w:p>
    <w:p w14:paraId="47C2D747" w14:textId="69B44CDD" w:rsidR="00E2508C" w:rsidRDefault="00E2508C" w:rsidP="00D06FF6">
      <w:pPr>
        <w:pStyle w:val="Ttulo4"/>
        <w:spacing w:before="300"/>
      </w:pPr>
      <w:r>
        <w:t>Auditorías de protección de Datos</w:t>
      </w:r>
    </w:p>
    <w:p w14:paraId="18C9AA9E" w14:textId="77777777" w:rsidR="00E2508C" w:rsidRDefault="00E2508C" w:rsidP="00D06FF6">
      <w:pPr>
        <w:spacing w:before="120" w:after="120"/>
      </w:pPr>
      <w:r>
        <w:t>Las auditorías de protección de datos deberán contemplar aspectos relativos a:</w:t>
      </w:r>
    </w:p>
    <w:p w14:paraId="0BA3317D" w14:textId="0E4088DA" w:rsidR="00E2508C" w:rsidRDefault="00E2508C" w:rsidP="00D06FF6">
      <w:pPr>
        <w:pStyle w:val="Prrafodelista"/>
        <w:numPr>
          <w:ilvl w:val="0"/>
          <w:numId w:val="58"/>
        </w:numPr>
        <w:spacing w:before="120" w:after="120"/>
        <w:contextualSpacing w:val="0"/>
      </w:pPr>
      <w:r>
        <w:t>Las normas, estándares, políticas de seguridad.</w:t>
      </w:r>
    </w:p>
    <w:p w14:paraId="0EAE43D5" w14:textId="299BDED8" w:rsidR="00E2508C" w:rsidRDefault="00E2508C" w:rsidP="00D06FF6">
      <w:pPr>
        <w:pStyle w:val="Prrafodelista"/>
        <w:numPr>
          <w:ilvl w:val="0"/>
          <w:numId w:val="58"/>
        </w:numPr>
        <w:spacing w:before="120" w:after="120"/>
        <w:contextualSpacing w:val="0"/>
      </w:pPr>
      <w:r>
        <w:t>Los procedimientos existentes: gestión de usuarios, gestión de dispositivos, copias de seguridad y recuperación, gestión de incidencias, etc ...</w:t>
      </w:r>
    </w:p>
    <w:p w14:paraId="4E6CF76D" w14:textId="06FB19CB" w:rsidR="00E2508C" w:rsidRDefault="00E2508C" w:rsidP="00D06FF6">
      <w:pPr>
        <w:pStyle w:val="Prrafodelista"/>
        <w:numPr>
          <w:ilvl w:val="0"/>
          <w:numId w:val="58"/>
        </w:numPr>
        <w:spacing w:before="120" w:after="120"/>
        <w:contextualSpacing w:val="0"/>
      </w:pPr>
      <w:r>
        <w:t>Mecanismos y sistemas de control: identificación y autenticación de usuarios, control de accesos lógicos y físicos, registro de accesos.</w:t>
      </w:r>
    </w:p>
    <w:p w14:paraId="455D0184" w14:textId="7CE0BBAD" w:rsidR="00E2508C" w:rsidRDefault="00E2508C" w:rsidP="00D06FF6">
      <w:pPr>
        <w:pStyle w:val="Prrafodelista"/>
        <w:numPr>
          <w:ilvl w:val="0"/>
          <w:numId w:val="58"/>
        </w:numPr>
        <w:spacing w:before="120" w:after="120"/>
        <w:contextualSpacing w:val="0"/>
      </w:pPr>
      <w:r>
        <w:t>Sistemas de seguridad: cifrado, almacenamiento de contraseñas seguras.</w:t>
      </w:r>
    </w:p>
    <w:p w14:paraId="1C0FF488" w14:textId="01DC6207" w:rsidR="00E2508C" w:rsidRDefault="00E2508C" w:rsidP="00D06FF6">
      <w:pPr>
        <w:pStyle w:val="Prrafodelista"/>
        <w:numPr>
          <w:ilvl w:val="0"/>
          <w:numId w:val="58"/>
        </w:numPr>
        <w:spacing w:before="120" w:after="120"/>
        <w:contextualSpacing w:val="0"/>
      </w:pPr>
      <w:r>
        <w:t>Sistemas de comunicaciones y redes, centros de procesamiento de datos.</w:t>
      </w:r>
    </w:p>
    <w:p w14:paraId="2B24B523" w14:textId="653E4072" w:rsidR="00E2508C" w:rsidRDefault="00E2508C" w:rsidP="00D06FF6">
      <w:pPr>
        <w:pStyle w:val="Prrafodelista"/>
        <w:numPr>
          <w:ilvl w:val="0"/>
          <w:numId w:val="58"/>
        </w:numPr>
        <w:spacing w:before="120" w:after="120"/>
        <w:contextualSpacing w:val="0"/>
      </w:pPr>
      <w:r>
        <w:t>Procedimientos de teletrabajo.</w:t>
      </w:r>
    </w:p>
    <w:p w14:paraId="3A45CE3E" w14:textId="4693CC05" w:rsidR="00E2508C" w:rsidRDefault="00E2508C" w:rsidP="00D06FF6">
      <w:pPr>
        <w:pStyle w:val="Prrafodelista"/>
        <w:numPr>
          <w:ilvl w:val="0"/>
          <w:numId w:val="58"/>
        </w:numPr>
        <w:spacing w:before="120" w:after="120"/>
        <w:contextualSpacing w:val="0"/>
      </w:pPr>
      <w:r>
        <w:t>Dispositivos de seguridad en puertas, armarios, archivadores.</w:t>
      </w:r>
    </w:p>
    <w:p w14:paraId="2305E1CA" w14:textId="534C587F" w:rsidR="00E2508C" w:rsidRDefault="00E2508C" w:rsidP="00D06FF6">
      <w:pPr>
        <w:pStyle w:val="Prrafodelista"/>
        <w:numPr>
          <w:ilvl w:val="0"/>
          <w:numId w:val="58"/>
        </w:numPr>
        <w:spacing w:before="120"/>
        <w:ind w:left="714" w:hanging="357"/>
        <w:contextualSpacing w:val="0"/>
      </w:pPr>
      <w:r>
        <w:t>Criterios de archivo, almacenamiento y destrucción de soportes no automatizados.</w:t>
      </w:r>
    </w:p>
    <w:p w14:paraId="24142A37" w14:textId="224C8BF5" w:rsidR="0020607E" w:rsidRDefault="0020607E" w:rsidP="00303374">
      <w:pPr>
        <w:keepNext/>
        <w:spacing w:before="120" w:after="120"/>
      </w:pPr>
      <w:r>
        <w:lastRenderedPageBreak/>
        <w:t>Así como aspectos relativos a:</w:t>
      </w:r>
    </w:p>
    <w:p w14:paraId="696FD781" w14:textId="305BACCB" w:rsidR="0020607E" w:rsidRDefault="0020607E" w:rsidP="00D06FF6">
      <w:pPr>
        <w:pStyle w:val="Prrafodelista"/>
        <w:numPr>
          <w:ilvl w:val="0"/>
          <w:numId w:val="67"/>
        </w:numPr>
        <w:spacing w:before="120" w:after="120"/>
        <w:contextualSpacing w:val="0"/>
      </w:pPr>
      <w:r>
        <w:t>Registro de Actividades de Tratamiento.</w:t>
      </w:r>
    </w:p>
    <w:p w14:paraId="6DA1F1DF" w14:textId="18C3358B" w:rsidR="0020607E" w:rsidRDefault="0020607E" w:rsidP="00D06FF6">
      <w:pPr>
        <w:pStyle w:val="Prrafodelista"/>
        <w:numPr>
          <w:ilvl w:val="0"/>
          <w:numId w:val="67"/>
        </w:numPr>
        <w:spacing w:before="120" w:after="120"/>
        <w:contextualSpacing w:val="0"/>
      </w:pPr>
      <w:r>
        <w:t>Información relativa al tratamiento de datos personales que se facilita a las personas afectadas.</w:t>
      </w:r>
    </w:p>
    <w:p w14:paraId="13E9D124" w14:textId="25C86022" w:rsidR="0020607E" w:rsidRDefault="0020607E" w:rsidP="00D06FF6">
      <w:pPr>
        <w:pStyle w:val="Prrafodelista"/>
        <w:numPr>
          <w:ilvl w:val="0"/>
          <w:numId w:val="67"/>
        </w:numPr>
        <w:spacing w:before="120" w:after="120"/>
        <w:contextualSpacing w:val="0"/>
      </w:pPr>
      <w:r>
        <w:t>Acuerdos de encargo de tratamiento y acuerdos de corresponsabilidad.</w:t>
      </w:r>
    </w:p>
    <w:p w14:paraId="131CCEBF" w14:textId="48E30F98" w:rsidR="0020607E" w:rsidRDefault="0020607E" w:rsidP="00D06FF6">
      <w:pPr>
        <w:pStyle w:val="Prrafodelista"/>
        <w:numPr>
          <w:ilvl w:val="0"/>
          <w:numId w:val="67"/>
        </w:numPr>
        <w:spacing w:before="120" w:after="120"/>
        <w:contextualSpacing w:val="0"/>
      </w:pPr>
      <w:r>
        <w:t>Transferencias internacionales y concurrencia de decisiones de adecuación, garantías, normas corporativas vinculantes y excepciones para situaciones específicas.</w:t>
      </w:r>
    </w:p>
    <w:p w14:paraId="49DA0838" w14:textId="7CE5723E" w:rsidR="0020607E" w:rsidRDefault="0020607E" w:rsidP="00D06FF6">
      <w:pPr>
        <w:pStyle w:val="Prrafodelista"/>
        <w:numPr>
          <w:ilvl w:val="0"/>
          <w:numId w:val="67"/>
        </w:numPr>
        <w:spacing w:before="120" w:after="120"/>
        <w:contextualSpacing w:val="0"/>
      </w:pPr>
      <w:r>
        <w:t>Gestión de los consentimientos cuando éste sea la base jurídica del tratamiento.</w:t>
      </w:r>
    </w:p>
    <w:p w14:paraId="43421F39" w14:textId="6F1D0D7B" w:rsidR="0008362F" w:rsidRDefault="0008362F" w:rsidP="00D06FF6">
      <w:pPr>
        <w:pStyle w:val="Prrafodelista"/>
        <w:numPr>
          <w:ilvl w:val="0"/>
          <w:numId w:val="67"/>
        </w:numPr>
        <w:spacing w:before="120" w:after="120"/>
        <w:contextualSpacing w:val="0"/>
      </w:pPr>
      <w:r>
        <w:t>Gestión de contratos y cláusulas contractuales vinculadas a la protección de datos</w:t>
      </w:r>
    </w:p>
    <w:p w14:paraId="6AC9A8FE" w14:textId="77777777" w:rsidR="00E804BE" w:rsidRDefault="00E804BE" w:rsidP="00D06FF6">
      <w:pPr>
        <w:pStyle w:val="Prrafodelista"/>
        <w:numPr>
          <w:ilvl w:val="0"/>
          <w:numId w:val="67"/>
        </w:numPr>
        <w:spacing w:before="120" w:after="120"/>
        <w:contextualSpacing w:val="0"/>
      </w:pPr>
      <w:r w:rsidRPr="00E804BE">
        <w:t>Formularios de recogida de datos con la información de protección de datos</w:t>
      </w:r>
    </w:p>
    <w:p w14:paraId="71AC730A" w14:textId="77777777" w:rsidR="00E804BE" w:rsidRDefault="00E804BE" w:rsidP="00D06FF6">
      <w:pPr>
        <w:pStyle w:val="Prrafodelista"/>
        <w:numPr>
          <w:ilvl w:val="0"/>
          <w:numId w:val="67"/>
        </w:numPr>
        <w:spacing w:before="120" w:after="120"/>
        <w:contextualSpacing w:val="0"/>
      </w:pPr>
      <w:r w:rsidRPr="00E804BE">
        <w:t>Ejercicio de los Derechos de los Interesados</w:t>
      </w:r>
    </w:p>
    <w:p w14:paraId="4B148AAD" w14:textId="77777777" w:rsidR="00E804BE" w:rsidRDefault="00E804BE" w:rsidP="00D06FF6">
      <w:pPr>
        <w:pStyle w:val="Prrafodelista"/>
        <w:numPr>
          <w:ilvl w:val="0"/>
          <w:numId w:val="67"/>
        </w:numPr>
        <w:spacing w:before="120" w:after="120"/>
        <w:contextualSpacing w:val="0"/>
      </w:pPr>
      <w:r w:rsidRPr="00E804BE">
        <w:t>Legitimaciones de los tratamientos de datos</w:t>
      </w:r>
    </w:p>
    <w:p w14:paraId="0FF04009" w14:textId="77777777" w:rsidR="00E804BE" w:rsidRDefault="00E804BE" w:rsidP="00D06FF6">
      <w:pPr>
        <w:pStyle w:val="Prrafodelista"/>
        <w:numPr>
          <w:ilvl w:val="0"/>
          <w:numId w:val="67"/>
        </w:numPr>
        <w:spacing w:before="120" w:after="120"/>
        <w:contextualSpacing w:val="0"/>
      </w:pPr>
      <w:r w:rsidRPr="00E804BE">
        <w:t>Cesiones de datos a terceros</w:t>
      </w:r>
    </w:p>
    <w:p w14:paraId="28A2C052" w14:textId="77777777" w:rsidR="00E804BE" w:rsidRDefault="00E804BE" w:rsidP="00D06FF6">
      <w:pPr>
        <w:pStyle w:val="Prrafodelista"/>
        <w:numPr>
          <w:ilvl w:val="0"/>
          <w:numId w:val="67"/>
        </w:numPr>
        <w:spacing w:before="120" w:after="120"/>
        <w:contextualSpacing w:val="0"/>
      </w:pPr>
      <w:r w:rsidRPr="00E804BE">
        <w:t>Garantía de los principios relativos al tratamiento de los datos</w:t>
      </w:r>
    </w:p>
    <w:p w14:paraId="489B2749" w14:textId="7B2A29E0" w:rsidR="00E804BE" w:rsidRDefault="00E804BE" w:rsidP="00D06FF6">
      <w:pPr>
        <w:pStyle w:val="Prrafodelista"/>
        <w:numPr>
          <w:ilvl w:val="0"/>
          <w:numId w:val="67"/>
        </w:numPr>
        <w:spacing w:before="120"/>
        <w:ind w:left="714" w:hanging="357"/>
        <w:contextualSpacing w:val="0"/>
      </w:pPr>
      <w:r w:rsidRPr="00E804BE">
        <w:t>Etc.</w:t>
      </w:r>
    </w:p>
    <w:p w14:paraId="33B3BDE1" w14:textId="3CEB25C1" w:rsidR="00E2508C" w:rsidRDefault="00E2508C" w:rsidP="00E2508C">
      <w:r>
        <w:t>El resultado de la auditoría deberá ser un informe con el estado de cumplimiento y las medidas o recomendaciones para un correcto cumplimiento. Puede implicar, la verificación posterior de las medidas o recomendaciones.</w:t>
      </w:r>
    </w:p>
    <w:p w14:paraId="2DC404E9" w14:textId="1FC138F3" w:rsidR="00E2508C" w:rsidRDefault="00E2508C" w:rsidP="00D06FF6">
      <w:pPr>
        <w:pStyle w:val="Ttulo4"/>
        <w:spacing w:before="300"/>
      </w:pPr>
      <w:r>
        <w:t>Informe de situación protección de datos</w:t>
      </w:r>
    </w:p>
    <w:p w14:paraId="53FD2E98" w14:textId="77777777" w:rsidR="00E2508C" w:rsidRDefault="00E2508C" w:rsidP="00E2508C">
      <w:r>
        <w:t>El informe de situación analizará los aspectos principales de cumplimiento de protección de datos e indicará la situación del cumplimiento.</w:t>
      </w:r>
    </w:p>
    <w:p w14:paraId="32F14FCA" w14:textId="77777777" w:rsidR="00E2508C" w:rsidRDefault="00E2508C" w:rsidP="00E2508C">
      <w:r>
        <w:t>Este informe se podrá realizar mediante tablas de cumplimiento y permitirá establecer mediante indicadores la situación general de cumplimiento.</w:t>
      </w:r>
    </w:p>
    <w:p w14:paraId="791ADB41" w14:textId="5A8EC5BF" w:rsidR="00E2508C" w:rsidRDefault="00E2508C" w:rsidP="00E2508C">
      <w:r>
        <w:t>Este se podrá desarrollar en base a los criterios de las auditorías de protección de datos.</w:t>
      </w:r>
    </w:p>
    <w:p w14:paraId="165A433A" w14:textId="2613DF7D" w:rsidR="00E2508C" w:rsidRDefault="00E2508C" w:rsidP="00D06FF6">
      <w:pPr>
        <w:pStyle w:val="Ttulo4"/>
        <w:spacing w:before="300"/>
      </w:pPr>
      <w:r>
        <w:t>Acuerdo marco política de seguridad en protección de datos</w:t>
      </w:r>
    </w:p>
    <w:p w14:paraId="1FD1D03B" w14:textId="44CB0ACD" w:rsidR="00E2508C" w:rsidRDefault="00E2508C" w:rsidP="00E2508C">
      <w:r>
        <w:t>Este servicio se basa en trabajos eminentemente jurídicos de adaptación de la normativa actual de la universidad y de su política de seguridad.</w:t>
      </w:r>
    </w:p>
    <w:p w14:paraId="51C1AE98" w14:textId="77777777" w:rsidR="00F221D1" w:rsidRDefault="00F221D1" w:rsidP="00D06FF6">
      <w:pPr>
        <w:pStyle w:val="Ttulo4"/>
        <w:spacing w:before="300"/>
      </w:pPr>
      <w:r w:rsidRPr="00FE2392">
        <w:t>Modelo de cumplimiento de las garantías de los derechos digitales</w:t>
      </w:r>
    </w:p>
    <w:p w14:paraId="3C6A36B6" w14:textId="11A40AD0" w:rsidR="00F221D1" w:rsidRDefault="00F221D1" w:rsidP="00E2508C">
      <w:r>
        <w:t xml:space="preserve">Definición de un modelo de implantación de medidas funcionales, organizativas y técnicas, adaptadas a la organización peticionaria, para el cumplimiento de las garantías de los derechos digitales. </w:t>
      </w:r>
    </w:p>
    <w:p w14:paraId="43D6FF2A" w14:textId="5D3F97BD" w:rsidR="00E2508C" w:rsidRPr="001B205D" w:rsidRDefault="00EF5AA8" w:rsidP="004776B0">
      <w:r w:rsidRPr="00BF5639">
        <w:lastRenderedPageBreak/>
        <w:t xml:space="preserve">Para la realización de estos servicios se podrá requerir utilizar las herramientas que el CCN-CERT ponga a disposición en este ámbito (PILAR, PILAR BASIC, micrópila, RMAT ...), u otras herramientas que las entidades puedan solicitar el desarrollo del servicio. La entidad determinará en la contratación del </w:t>
      </w:r>
      <w:proofErr w:type="spellStart"/>
      <w:r w:rsidRPr="00BF5639">
        <w:t>servicio</w:t>
      </w:r>
      <w:proofErr w:type="spellEnd"/>
      <w:r w:rsidRPr="00BF5639">
        <w:t xml:space="preserve"> la </w:t>
      </w:r>
      <w:proofErr w:type="spellStart"/>
      <w:r w:rsidRPr="00BF5639">
        <w:t>herramienta</w:t>
      </w:r>
      <w:proofErr w:type="spellEnd"/>
      <w:r w:rsidRPr="00BF5639">
        <w:t xml:space="preserve"> o </w:t>
      </w:r>
      <w:proofErr w:type="spellStart"/>
      <w:r w:rsidRPr="00BF5639">
        <w:t>herramientas</w:t>
      </w:r>
      <w:proofErr w:type="spellEnd"/>
      <w:r w:rsidRPr="00BF5639">
        <w:t xml:space="preserve"> a </w:t>
      </w:r>
      <w:proofErr w:type="spellStart"/>
      <w:r w:rsidRPr="00BF5639">
        <w:t>utilizar</w:t>
      </w:r>
      <w:proofErr w:type="spellEnd"/>
      <w:r w:rsidRPr="00BF5639">
        <w:t>.</w:t>
      </w:r>
    </w:p>
    <w:p w14:paraId="35888276" w14:textId="1573B4BF" w:rsidR="004776B0" w:rsidRPr="001B205D" w:rsidRDefault="004776B0" w:rsidP="003A37EB">
      <w:pPr>
        <w:pStyle w:val="Ttulo1"/>
        <w:numPr>
          <w:ilvl w:val="0"/>
          <w:numId w:val="4"/>
        </w:numPr>
      </w:pPr>
      <w:bookmarkStart w:id="32" w:name="_Toc55920792"/>
      <w:r w:rsidRPr="001B205D">
        <w:t>LOTE 3: Servicios profesionales en protección de datos</w:t>
      </w:r>
      <w:bookmarkEnd w:id="32"/>
    </w:p>
    <w:p w14:paraId="5101B9DD" w14:textId="77777777" w:rsidR="004776B0" w:rsidRPr="001B205D" w:rsidRDefault="004776B0" w:rsidP="004776B0">
      <w:r w:rsidRPr="001B205D">
        <w:t>Este lote contempla aquellos servicios en materia de protección de datos que tienen como objetivo la colaboración con los equipos de protección de datos de las universidades para el desarrollo de una actividad concreta y principalmente por parte de una persona altamente cualificada del empresa adjudicataria donde las competencias personal de la persona asignada son el elemento relevante en la ejecución de la misma.</w:t>
      </w:r>
    </w:p>
    <w:p w14:paraId="4A443AB0" w14:textId="77777777" w:rsidR="004776B0" w:rsidRPr="001B205D" w:rsidRDefault="004776B0" w:rsidP="004776B0">
      <w:r w:rsidRPr="001B205D">
        <w:t>Los servicios contemplados en este lote requieren de la participación principalmente de un experto del proveedor donde se pueden requerir competencias jurídicas o técnicas.</w:t>
      </w:r>
    </w:p>
    <w:p w14:paraId="368C3EE4" w14:textId="77777777" w:rsidR="004776B0" w:rsidRPr="001B205D" w:rsidRDefault="004776B0" w:rsidP="004776B0">
      <w:r w:rsidRPr="001B205D">
        <w:t>Estos trabajos se determinarán en base a las horas requeridas para su ejecución por parte del experto.</w:t>
      </w:r>
    </w:p>
    <w:p w14:paraId="3D557936" w14:textId="77777777" w:rsidR="004776B0" w:rsidRPr="001B205D" w:rsidRDefault="004776B0" w:rsidP="00D06FF6">
      <w:pPr>
        <w:pStyle w:val="Ttulo2"/>
        <w:spacing w:before="300"/>
      </w:pPr>
      <w:bookmarkStart w:id="33" w:name="_Toc55920793"/>
      <w:r w:rsidRPr="001B205D">
        <w:t>5.1 Requisitos</w:t>
      </w:r>
      <w:bookmarkEnd w:id="33"/>
    </w:p>
    <w:p w14:paraId="1317D1EE" w14:textId="12E9BBE3" w:rsidR="004776B0" w:rsidRPr="001B205D" w:rsidRDefault="004776B0" w:rsidP="00D06FF6">
      <w:pPr>
        <w:spacing w:before="120" w:after="120"/>
      </w:pPr>
      <w:r w:rsidRPr="001B205D">
        <w:t>A continuación se relacionan los servicios que se solicitan y que de forma obligatoria deberán ser incluidos en la propuesta presentada por el licitador:</w:t>
      </w:r>
    </w:p>
    <w:p w14:paraId="13DD4B9D" w14:textId="57A70011" w:rsidR="004776B0" w:rsidRPr="001B205D" w:rsidRDefault="00A04F90" w:rsidP="00D06FF6">
      <w:pPr>
        <w:pStyle w:val="Prrafodelista"/>
        <w:numPr>
          <w:ilvl w:val="0"/>
          <w:numId w:val="42"/>
        </w:numPr>
        <w:spacing w:before="120" w:after="120"/>
        <w:contextualSpacing w:val="0"/>
      </w:pPr>
      <w:r>
        <w:t>Asesoramiento (análisis de herramientas, consultas a la autoridad de control, como informar y gestionar las cookies ...)</w:t>
      </w:r>
    </w:p>
    <w:p w14:paraId="2BAA89B2" w14:textId="3CBA7381" w:rsidR="004776B0" w:rsidRPr="001B205D" w:rsidRDefault="00A04F90" w:rsidP="00D06FF6">
      <w:pPr>
        <w:pStyle w:val="Prrafodelista"/>
        <w:numPr>
          <w:ilvl w:val="0"/>
          <w:numId w:val="42"/>
        </w:numPr>
        <w:spacing w:before="120" w:after="120"/>
        <w:contextualSpacing w:val="0"/>
      </w:pPr>
      <w:r>
        <w:t>Asesoramiento para la implantación de las medidas técnicas y organizativas resultantes de la auditoría</w:t>
      </w:r>
    </w:p>
    <w:p w14:paraId="48714C54" w14:textId="57EDE1D8" w:rsidR="004776B0" w:rsidRPr="001B205D" w:rsidRDefault="00A04F90" w:rsidP="00D06FF6">
      <w:pPr>
        <w:pStyle w:val="Prrafodelista"/>
        <w:numPr>
          <w:ilvl w:val="0"/>
          <w:numId w:val="42"/>
        </w:numPr>
        <w:spacing w:before="120"/>
        <w:ind w:hanging="357"/>
        <w:contextualSpacing w:val="0"/>
      </w:pPr>
      <w:bookmarkStart w:id="34" w:name="_Hlk55557846"/>
      <w:r>
        <w:t>Asesoramiento para la elaboración de códigos de conducta</w:t>
      </w:r>
    </w:p>
    <w:bookmarkEnd w:id="34"/>
    <w:p w14:paraId="3D8A041D" w14:textId="07952AFE" w:rsidR="004776B0" w:rsidRDefault="009B42D9" w:rsidP="004210A8">
      <w:r>
        <w:t>Será de especial consideración la especificidad del encargo los aspectos detallados en el punto 2.3 del presente pliego.</w:t>
      </w:r>
    </w:p>
    <w:p w14:paraId="7B084C2A" w14:textId="5BFE0E55" w:rsidR="00E2508C" w:rsidRPr="0040582E" w:rsidRDefault="00A04F90" w:rsidP="00E2508C">
      <w:pPr>
        <w:rPr>
          <w:rFonts w:ascii="Arial" w:eastAsiaTheme="majorEastAsia" w:hAnsi="Arial" w:cstheme="majorBidi"/>
          <w:b/>
          <w:bCs/>
          <w:iCs/>
          <w:sz w:val="22"/>
          <w:szCs w:val="24"/>
        </w:rPr>
      </w:pPr>
      <w:r>
        <w:rPr>
          <w:rFonts w:ascii="Arial" w:eastAsiaTheme="majorEastAsia" w:hAnsi="Arial" w:cstheme="majorBidi"/>
          <w:b/>
          <w:iCs/>
          <w:sz w:val="22"/>
          <w:szCs w:val="24"/>
        </w:rPr>
        <w:t>Asesoramiento (análisis de herramientas, consultas a la autoridad de control, como informar y gestionar las cookies ...)</w:t>
      </w:r>
    </w:p>
    <w:p w14:paraId="44A7A624" w14:textId="10F15FAD" w:rsidR="00E2508C" w:rsidRDefault="00E2508C" w:rsidP="00E2508C">
      <w:r>
        <w:t>Estas tareas pueden tener tanto un componente técnico informático como jurídico dependiendo de las necesidades de la institución que realiza el contrato basado y en algún caso puede requerir los dos perfiles.</w:t>
      </w:r>
    </w:p>
    <w:p w14:paraId="78F658CF" w14:textId="2F222491" w:rsidR="00E2508C" w:rsidRDefault="00E2508C" w:rsidP="00E2508C">
      <w:r>
        <w:t xml:space="preserve">Estas tareas deberán tener en cuenta el marco normativo de protección de datos, el marco normativo de las universidades y del sector público en general. </w:t>
      </w:r>
    </w:p>
    <w:p w14:paraId="4CCB0BFA" w14:textId="45E35B25" w:rsidR="00E2508C" w:rsidRDefault="00E2508C" w:rsidP="00E2508C">
      <w:r>
        <w:lastRenderedPageBreak/>
        <w:t>Puede requerir pues, conocimientos específicos de otros aspectos conexos a la protección de datos como la Administración electrónica, el procedimiento administrativo y transparencia.</w:t>
      </w:r>
    </w:p>
    <w:p w14:paraId="259EB277" w14:textId="3C78BE2D" w:rsidR="00E2508C" w:rsidRDefault="00A04F90" w:rsidP="00D06FF6">
      <w:pPr>
        <w:pStyle w:val="Ttulo4"/>
        <w:spacing w:before="300"/>
      </w:pPr>
      <w:r>
        <w:t>Asesoramiento para la implantación de las medidas técnicas y organizativas resultantes de la auditoría</w:t>
      </w:r>
    </w:p>
    <w:p w14:paraId="54314909" w14:textId="7F24A261" w:rsidR="00E2508C" w:rsidRDefault="00E2508C" w:rsidP="00E2508C">
      <w:r>
        <w:t>Este servicio se basa en trabajos de adaptación de la normativa actual de la universidad y de su política de seguridad.</w:t>
      </w:r>
    </w:p>
    <w:p w14:paraId="4CF9A2DC" w14:textId="77777777" w:rsidR="00E2508C" w:rsidRDefault="00E2508C" w:rsidP="00E2508C">
      <w:r>
        <w:t>Estas tareas pueden tener tanto un componente técnico informático como jurídico dependiendo de las necesidades de la institución que realiza el contrato basado y en algún caso puede requerir los dos perfiles.</w:t>
      </w:r>
    </w:p>
    <w:p w14:paraId="5E029F1B" w14:textId="6288F305" w:rsidR="00E2508C" w:rsidRDefault="00E2508C" w:rsidP="00E2508C">
      <w:r>
        <w:t>Requiere el conocimiento de las instituciones del sector público en cuanto a las propuestas de medidas técnicas y organizativas.</w:t>
      </w:r>
    </w:p>
    <w:p w14:paraId="583D650C" w14:textId="3B7661DE" w:rsidR="00E2508C" w:rsidRDefault="00A04F90" w:rsidP="00E2508C">
      <w:pPr>
        <w:rPr>
          <w:rFonts w:ascii="Arial" w:eastAsiaTheme="majorEastAsia" w:hAnsi="Arial" w:cstheme="majorBidi"/>
          <w:b/>
          <w:iCs/>
          <w:sz w:val="22"/>
          <w:szCs w:val="24"/>
        </w:rPr>
      </w:pPr>
      <w:r>
        <w:rPr>
          <w:rFonts w:ascii="Arial" w:eastAsiaTheme="majorEastAsia" w:hAnsi="Arial" w:cstheme="majorBidi"/>
          <w:b/>
          <w:iCs/>
          <w:sz w:val="22"/>
          <w:szCs w:val="24"/>
        </w:rPr>
        <w:t>Asesoramiento para la elaboración de códigos de conducta</w:t>
      </w:r>
    </w:p>
    <w:p w14:paraId="21242E28" w14:textId="294B8620" w:rsidR="00E2508C" w:rsidRPr="001B205D" w:rsidRDefault="00E2508C" w:rsidP="004210A8">
      <w:r>
        <w:t xml:space="preserve">Este servicio se basa en trabajos eminentemente jurídicos para la elaboración de los códigos de conducta aunque en determinados aspectos puede requerir la colaboración de un perfil técnico como por ejemplo en la elaboración de códigos de conducta en Big Data, </w:t>
      </w:r>
      <w:proofErr w:type="spellStart"/>
      <w:r>
        <w:t>Intelinteligencia</w:t>
      </w:r>
      <w:proofErr w:type="spellEnd"/>
      <w:r>
        <w:t xml:space="preserve"> Artificial, </w:t>
      </w:r>
      <w:proofErr w:type="spellStart"/>
      <w:r>
        <w:t>servicios</w:t>
      </w:r>
      <w:proofErr w:type="spellEnd"/>
      <w:r>
        <w:t xml:space="preserve"> en la nube y otros aspectos muy específicos.</w:t>
      </w:r>
    </w:p>
    <w:p w14:paraId="72CC9EF4" w14:textId="77777777" w:rsidR="004776B0" w:rsidRPr="001B205D" w:rsidRDefault="004776B0" w:rsidP="004776B0">
      <w:pPr>
        <w:pStyle w:val="Ttulo1"/>
        <w:numPr>
          <w:ilvl w:val="0"/>
          <w:numId w:val="4"/>
        </w:numPr>
      </w:pPr>
      <w:bookmarkStart w:id="35" w:name="_Toc55920794"/>
      <w:r w:rsidRPr="001B205D">
        <w:t>LOTE 4: Oficina técnica de apoyo al DPD</w:t>
      </w:r>
      <w:bookmarkEnd w:id="35"/>
    </w:p>
    <w:p w14:paraId="2EFAEF5A" w14:textId="77777777" w:rsidR="004776B0" w:rsidRPr="001B205D" w:rsidRDefault="004776B0" w:rsidP="004776B0">
      <w:r w:rsidRPr="001B205D">
        <w:t>Este lote contempla aquellos servicios en materia de protección de datos que tienen como objetivo la prestación del servicio de oficina técnica de apoyo al DPD.</w:t>
      </w:r>
    </w:p>
    <w:p w14:paraId="6BBD1B25" w14:textId="77777777" w:rsidR="004776B0" w:rsidRPr="001B205D" w:rsidRDefault="004776B0" w:rsidP="004776B0">
      <w:r w:rsidRPr="001B205D">
        <w:t>Las funciones del Delegado de Protección de Datos se encuentran reguladas por el artículo 39 del RGPD. La oficina técnica de apoyo al DPD realizará aquellas tareas que se requieran de apoyo al ejercicio de sus funciones del DPD.</w:t>
      </w:r>
    </w:p>
    <w:p w14:paraId="50C75745" w14:textId="39A0647E" w:rsidR="004776B0" w:rsidRPr="001B205D" w:rsidRDefault="006F4375" w:rsidP="00D06FF6">
      <w:pPr>
        <w:pStyle w:val="Ttulo2"/>
        <w:spacing w:before="300"/>
      </w:pPr>
      <w:bookmarkStart w:id="36" w:name="_Toc55920795"/>
      <w:r>
        <w:t>6.1 Requisitos</w:t>
      </w:r>
      <w:bookmarkEnd w:id="36"/>
    </w:p>
    <w:p w14:paraId="0A6BE396" w14:textId="47955A97" w:rsidR="004776B0" w:rsidRPr="001B205D" w:rsidRDefault="004776B0" w:rsidP="00D06FF6">
      <w:pPr>
        <w:spacing w:before="120" w:after="120"/>
      </w:pPr>
      <w:r w:rsidRPr="001B205D">
        <w:t>A continuación se relacionan los servicios que se solicitan y que de forma obligatoria deberán ser incluidos en la propuesta presentada por el licitador:</w:t>
      </w:r>
    </w:p>
    <w:p w14:paraId="6806AC16" w14:textId="77777777" w:rsidR="004776B0" w:rsidRPr="001B205D" w:rsidRDefault="004776B0" w:rsidP="00D06FF6">
      <w:pPr>
        <w:pStyle w:val="Prrafodelista"/>
        <w:numPr>
          <w:ilvl w:val="0"/>
          <w:numId w:val="43"/>
        </w:numPr>
        <w:spacing w:before="120" w:after="120"/>
        <w:contextualSpacing w:val="0"/>
      </w:pPr>
      <w:r w:rsidRPr="001B205D">
        <w:t>Informar y asesorar al organismo contratante del tratamiento de los datos, así como a los empleados que se ocupen del tratamiento y de las obligaciones, reguladas en el RGPD y del resto de la normativa aplicable en materia de protección de datos.</w:t>
      </w:r>
    </w:p>
    <w:p w14:paraId="6304A37A" w14:textId="77777777" w:rsidR="004776B0" w:rsidRPr="001B205D" w:rsidRDefault="004776B0" w:rsidP="00D06FF6">
      <w:pPr>
        <w:pStyle w:val="Prrafodelista"/>
        <w:numPr>
          <w:ilvl w:val="0"/>
          <w:numId w:val="43"/>
        </w:numPr>
        <w:spacing w:before="120" w:after="120"/>
        <w:contextualSpacing w:val="0"/>
      </w:pPr>
      <w:r w:rsidRPr="001B205D">
        <w:t xml:space="preserve">Supervisar el cumplimiento del RGPD y del resto de la normativa aplicable en materia de protección de datos, y de las políticas que lleva a cabo el organismo contratante en esta </w:t>
      </w:r>
      <w:r w:rsidRPr="001B205D">
        <w:lastRenderedPageBreak/>
        <w:t>materia, incluida la asignación de responsabilidades, la concienciación y la formación del personal que participa en operaciones de tratamiento, y las auditorías correspondientes.</w:t>
      </w:r>
    </w:p>
    <w:p w14:paraId="44007735" w14:textId="77777777" w:rsidR="004776B0" w:rsidRPr="001B205D" w:rsidRDefault="004776B0" w:rsidP="00D06FF6">
      <w:pPr>
        <w:pStyle w:val="Prrafodelista"/>
        <w:numPr>
          <w:ilvl w:val="0"/>
          <w:numId w:val="43"/>
        </w:numPr>
        <w:spacing w:before="120" w:after="120"/>
        <w:contextualSpacing w:val="0"/>
      </w:pPr>
      <w:r w:rsidRPr="001B205D">
        <w:t>Dar respuesta a las consultas planteadas por el DPD del organismo contratante.</w:t>
      </w:r>
    </w:p>
    <w:p w14:paraId="60E9F7B4" w14:textId="1692D41E" w:rsidR="004776B0" w:rsidRPr="001B205D" w:rsidRDefault="004776B0" w:rsidP="00D06FF6">
      <w:pPr>
        <w:pStyle w:val="Prrafodelista"/>
        <w:numPr>
          <w:ilvl w:val="0"/>
          <w:numId w:val="43"/>
        </w:numPr>
        <w:spacing w:before="120" w:after="120"/>
        <w:contextualSpacing w:val="0"/>
      </w:pPr>
      <w:r w:rsidRPr="001B205D">
        <w:t>Ofrecer el asesoramiento que se solicite para con la evaluación del impacto, relativo a la protección de datos y supervisar su aplicación, de acuerdo con las prescripciones reguladas en el artículo 35 del propio RGPD.</w:t>
      </w:r>
    </w:p>
    <w:p w14:paraId="0AD0B13A" w14:textId="77777777" w:rsidR="004776B0" w:rsidRPr="001B205D" w:rsidRDefault="004776B0" w:rsidP="00D06FF6">
      <w:pPr>
        <w:pStyle w:val="Prrafodelista"/>
        <w:numPr>
          <w:ilvl w:val="0"/>
          <w:numId w:val="43"/>
        </w:numPr>
        <w:spacing w:before="120" w:after="120"/>
        <w:contextualSpacing w:val="0"/>
      </w:pPr>
      <w:r w:rsidRPr="001B205D">
        <w:t>Cooperar con los autoridades de control y, concretamente, con la Autoridad Catalana de Protección de Datos y la Agencia Española de Protección de Datos.</w:t>
      </w:r>
    </w:p>
    <w:p w14:paraId="032BA2B7" w14:textId="77777777" w:rsidR="004776B0" w:rsidRPr="001B205D" w:rsidRDefault="004776B0" w:rsidP="00D06FF6">
      <w:pPr>
        <w:pStyle w:val="Prrafodelista"/>
        <w:numPr>
          <w:ilvl w:val="0"/>
          <w:numId w:val="43"/>
        </w:numPr>
        <w:spacing w:before="120"/>
        <w:ind w:left="714" w:hanging="357"/>
        <w:contextualSpacing w:val="0"/>
      </w:pPr>
      <w:r w:rsidRPr="001B205D">
        <w:t>Actuar como punto de contacto de la autoridad de control, cuando sea requerido, por cuestiones relativas al tratamiento, incluida la consulta previa regulada en el artículo 35 del RGPD, en caso de que el tratamiento de los datos pudiera conllevar un alto riesgo o pudiera infringir el propio RGPD.</w:t>
      </w:r>
    </w:p>
    <w:p w14:paraId="114743CC" w14:textId="1C57277A" w:rsidR="003C356C" w:rsidRDefault="00993EA4" w:rsidP="003C356C">
      <w:bookmarkStart w:id="37" w:name="_Toc457432658"/>
      <w:bookmarkStart w:id="38" w:name="_Toc462997549"/>
      <w:bookmarkEnd w:id="29"/>
      <w:bookmarkEnd w:id="30"/>
      <w:r>
        <w:t>Es crítico el tiempo de respuesta ante las peticiones planteadas por parte del DPD en la oficina técnica de apoyo al DPD, especialmente en el apartado de consultas.</w:t>
      </w:r>
    </w:p>
    <w:p w14:paraId="2347BC4B" w14:textId="631EFEA6" w:rsidR="00993EA4" w:rsidRPr="0040582E" w:rsidRDefault="00993EA4" w:rsidP="0040582E">
      <w:pPr>
        <w:rPr>
          <w:highlight w:val="yellow"/>
        </w:rPr>
      </w:pPr>
      <w:r w:rsidRPr="00613B5D">
        <w:t xml:space="preserve">El calendario de atención se rige por el calendario festivos del organismo contratante del servicio y el horario de atención que se pueda pactar el momento de la contratación del servicio. </w:t>
      </w:r>
    </w:p>
    <w:p w14:paraId="06372870" w14:textId="1E7FA662" w:rsidR="00993EA4" w:rsidRDefault="00395C6C" w:rsidP="00D06FF6">
      <w:pPr>
        <w:spacing w:before="120" w:after="120"/>
      </w:pPr>
      <w:r>
        <w:t xml:space="preserve">El nivel de servicio se basará en relación a la criticidad de las tareas encomendadas a la oficina </w:t>
      </w:r>
      <w:proofErr w:type="spellStart"/>
      <w:r>
        <w:t>técnica</w:t>
      </w:r>
      <w:proofErr w:type="spellEnd"/>
      <w:r>
        <w:t xml:space="preserve"> del DPD.</w:t>
      </w:r>
    </w:p>
    <w:p w14:paraId="221EBF2A" w14:textId="5066090B" w:rsidR="00395C6C" w:rsidRDefault="00395C6C" w:rsidP="00D06FF6">
      <w:pPr>
        <w:pStyle w:val="Prrafodelista"/>
        <w:numPr>
          <w:ilvl w:val="0"/>
          <w:numId w:val="46"/>
        </w:numPr>
        <w:spacing w:before="120" w:after="120"/>
        <w:contextualSpacing w:val="0"/>
      </w:pPr>
      <w:r>
        <w:t>Alta: cuando ésta requiera una rápida ejecución atendiendo a que tiene una incidencia alta en el organismo contratante que impide que éste pueda llevar a cabo una actividad relevante, tenga una afectación alta en el negocio del organismo contratante o sea requerido con urgencia para las autoridades de control.</w:t>
      </w:r>
    </w:p>
    <w:p w14:paraId="591BF391" w14:textId="537BACB2" w:rsidR="00395C6C" w:rsidRDefault="00395C6C" w:rsidP="00D06FF6">
      <w:pPr>
        <w:pStyle w:val="Prrafodelista"/>
        <w:numPr>
          <w:ilvl w:val="0"/>
          <w:numId w:val="46"/>
        </w:numPr>
        <w:spacing w:before="120" w:after="120"/>
        <w:contextualSpacing w:val="0"/>
      </w:pPr>
      <w:r>
        <w:t>Media: cuanto ésta tenga una afectación baja en el negocio del organismo contratante.</w:t>
      </w:r>
    </w:p>
    <w:p w14:paraId="4A9CF996" w14:textId="7DCB3071" w:rsidR="00395C6C" w:rsidRDefault="00395C6C" w:rsidP="00D06FF6">
      <w:pPr>
        <w:pStyle w:val="Prrafodelista"/>
        <w:numPr>
          <w:ilvl w:val="0"/>
          <w:numId w:val="46"/>
        </w:numPr>
        <w:spacing w:before="120"/>
        <w:ind w:left="714" w:hanging="357"/>
        <w:contextualSpacing w:val="0"/>
      </w:pPr>
      <w:r>
        <w:t>Baja: cuando ésta no tenga afectación por organismo contratante y no afecte el normal actividad del negocio.</w:t>
      </w:r>
    </w:p>
    <w:p w14:paraId="2C6129FB" w14:textId="77777777" w:rsidR="00DA3B8A" w:rsidRDefault="00DA3B8A" w:rsidP="00DA3B8A">
      <w:r>
        <w:t xml:space="preserve">El tiempo máximo permitido por la respuesta y resolución de una incidencia dependerá del nivel de criticidad de la petición. No dar respuesta en los tiempos de respuesta establecidos en el pliego y / o la oferta del licitador podrá dar pie a la rescisión del contrato. Para evaluar el cumplimiento se basará en que el 95% de las peticiones realizadas se lleven a cabo en los </w:t>
      </w:r>
      <w:proofErr w:type="spellStart"/>
      <w:r>
        <w:t>plazos</w:t>
      </w:r>
      <w:proofErr w:type="spellEnd"/>
      <w:r>
        <w:t xml:space="preserve"> </w:t>
      </w:r>
      <w:proofErr w:type="spellStart"/>
      <w:r>
        <w:t>establecidos</w:t>
      </w:r>
      <w:proofErr w:type="spellEnd"/>
      <w:r>
        <w:t>.</w:t>
      </w:r>
    </w:p>
    <w:tbl>
      <w:tblPr>
        <w:tblStyle w:val="Tablaconcuadrcula"/>
        <w:tblW w:w="0" w:type="auto"/>
        <w:tblLook w:val="04A0" w:firstRow="1" w:lastRow="0" w:firstColumn="1" w:lastColumn="0" w:noHBand="0" w:noVBand="1"/>
      </w:tblPr>
      <w:tblGrid>
        <w:gridCol w:w="1242"/>
        <w:gridCol w:w="2425"/>
        <w:gridCol w:w="2551"/>
      </w:tblGrid>
      <w:tr w:rsidR="00DA3B8A" w:rsidRPr="00D94F74" w14:paraId="26C0E33A" w14:textId="77777777" w:rsidTr="00D94F74">
        <w:tc>
          <w:tcPr>
            <w:tcW w:w="1242" w:type="dxa"/>
          </w:tcPr>
          <w:p w14:paraId="1D4E4274" w14:textId="084606E5" w:rsidR="00DA3B8A" w:rsidRPr="00D94F74" w:rsidRDefault="00DA3B8A" w:rsidP="00D94F74">
            <w:pPr>
              <w:spacing w:after="120"/>
              <w:rPr>
                <w:rFonts w:ascii="Arial" w:hAnsi="Arial"/>
                <w:sz w:val="20"/>
              </w:rPr>
            </w:pPr>
            <w:proofErr w:type="spellStart"/>
            <w:r w:rsidRPr="00D94F74">
              <w:rPr>
                <w:rFonts w:ascii="Arial" w:hAnsi="Arial"/>
                <w:sz w:val="20"/>
              </w:rPr>
              <w:t>criticidad</w:t>
            </w:r>
            <w:proofErr w:type="spellEnd"/>
          </w:p>
        </w:tc>
        <w:tc>
          <w:tcPr>
            <w:tcW w:w="2425" w:type="dxa"/>
          </w:tcPr>
          <w:p w14:paraId="5E582A24" w14:textId="1383A634" w:rsidR="00DA3B8A" w:rsidRPr="00D94F74" w:rsidRDefault="00DA3B8A" w:rsidP="00D94F74">
            <w:pPr>
              <w:spacing w:after="120"/>
              <w:rPr>
                <w:rFonts w:ascii="Arial" w:hAnsi="Arial"/>
                <w:sz w:val="20"/>
              </w:rPr>
            </w:pPr>
            <w:r w:rsidRPr="00D94F74">
              <w:rPr>
                <w:rFonts w:ascii="Arial" w:hAnsi="Arial"/>
                <w:sz w:val="20"/>
              </w:rPr>
              <w:t>Tiempo primera respuesta en horas</w:t>
            </w:r>
          </w:p>
        </w:tc>
        <w:tc>
          <w:tcPr>
            <w:tcW w:w="2551" w:type="dxa"/>
          </w:tcPr>
          <w:p w14:paraId="77558449" w14:textId="5F4F1DDF" w:rsidR="00DA3B8A" w:rsidRPr="00D94F74" w:rsidRDefault="00DA3B8A" w:rsidP="00D94F74">
            <w:pPr>
              <w:spacing w:after="120"/>
              <w:rPr>
                <w:rFonts w:ascii="Arial" w:hAnsi="Arial"/>
                <w:sz w:val="20"/>
              </w:rPr>
            </w:pPr>
            <w:r w:rsidRPr="00D94F74">
              <w:rPr>
                <w:rFonts w:ascii="Arial" w:hAnsi="Arial"/>
                <w:sz w:val="20"/>
              </w:rPr>
              <w:t>Tiempo respuesta que resuelve la tarea planteada</w:t>
            </w:r>
          </w:p>
        </w:tc>
      </w:tr>
      <w:tr w:rsidR="00DA3B8A" w:rsidRPr="00D94F74" w14:paraId="2A30F58F" w14:textId="77777777" w:rsidTr="00D94F74">
        <w:tc>
          <w:tcPr>
            <w:tcW w:w="1242" w:type="dxa"/>
          </w:tcPr>
          <w:p w14:paraId="50D9E18A" w14:textId="4F2E8688" w:rsidR="00DA3B8A" w:rsidRPr="00D94F74" w:rsidRDefault="00DA3B8A" w:rsidP="00D94F74">
            <w:pPr>
              <w:spacing w:after="120"/>
              <w:rPr>
                <w:rFonts w:ascii="Arial" w:hAnsi="Arial"/>
                <w:sz w:val="20"/>
              </w:rPr>
            </w:pPr>
            <w:r w:rsidRPr="00D94F74">
              <w:rPr>
                <w:rFonts w:ascii="Arial" w:hAnsi="Arial"/>
                <w:sz w:val="20"/>
              </w:rPr>
              <w:t>alta</w:t>
            </w:r>
          </w:p>
        </w:tc>
        <w:tc>
          <w:tcPr>
            <w:tcW w:w="2425" w:type="dxa"/>
          </w:tcPr>
          <w:p w14:paraId="51AE512F" w14:textId="1F100BAE" w:rsidR="00DA3B8A" w:rsidRPr="00D94F74" w:rsidRDefault="00DA3B8A" w:rsidP="00D94F74">
            <w:pPr>
              <w:spacing w:after="120"/>
              <w:jc w:val="right"/>
              <w:rPr>
                <w:rFonts w:ascii="Arial" w:hAnsi="Arial"/>
                <w:sz w:val="20"/>
              </w:rPr>
            </w:pPr>
            <w:r w:rsidRPr="00D94F74">
              <w:rPr>
                <w:rFonts w:ascii="Arial" w:hAnsi="Arial"/>
                <w:sz w:val="20"/>
              </w:rPr>
              <w:t>4</w:t>
            </w:r>
          </w:p>
        </w:tc>
        <w:tc>
          <w:tcPr>
            <w:tcW w:w="2551" w:type="dxa"/>
          </w:tcPr>
          <w:p w14:paraId="276D610D" w14:textId="04F829C6" w:rsidR="00DA3B8A" w:rsidRPr="00D94F74" w:rsidRDefault="00DA3B8A" w:rsidP="00D94F74">
            <w:pPr>
              <w:spacing w:after="120"/>
              <w:jc w:val="right"/>
              <w:rPr>
                <w:rFonts w:ascii="Arial" w:hAnsi="Arial"/>
                <w:sz w:val="20"/>
              </w:rPr>
            </w:pPr>
            <w:r w:rsidRPr="00D94F74">
              <w:rPr>
                <w:rFonts w:ascii="Arial" w:hAnsi="Arial"/>
                <w:sz w:val="20"/>
              </w:rPr>
              <w:t>48</w:t>
            </w:r>
          </w:p>
        </w:tc>
      </w:tr>
      <w:tr w:rsidR="00DA3B8A" w:rsidRPr="00D94F74" w14:paraId="5D756DBD" w14:textId="77777777" w:rsidTr="00D94F74">
        <w:tc>
          <w:tcPr>
            <w:tcW w:w="1242" w:type="dxa"/>
          </w:tcPr>
          <w:p w14:paraId="33492D84" w14:textId="4E6039E9" w:rsidR="00DA3B8A" w:rsidRPr="00D94F74" w:rsidRDefault="00DA3B8A" w:rsidP="00D94F74">
            <w:pPr>
              <w:spacing w:after="120"/>
              <w:rPr>
                <w:rFonts w:ascii="Arial" w:hAnsi="Arial"/>
                <w:sz w:val="20"/>
              </w:rPr>
            </w:pPr>
            <w:r w:rsidRPr="00D94F74">
              <w:rPr>
                <w:rFonts w:ascii="Arial" w:hAnsi="Arial"/>
                <w:sz w:val="20"/>
              </w:rPr>
              <w:t>media</w:t>
            </w:r>
          </w:p>
        </w:tc>
        <w:tc>
          <w:tcPr>
            <w:tcW w:w="2425" w:type="dxa"/>
          </w:tcPr>
          <w:p w14:paraId="1963EE22" w14:textId="2D0203F6" w:rsidR="00DA3B8A" w:rsidRPr="00D94F74" w:rsidRDefault="00DA3B8A" w:rsidP="00D94F74">
            <w:pPr>
              <w:spacing w:after="120"/>
              <w:jc w:val="right"/>
              <w:rPr>
                <w:rFonts w:ascii="Arial" w:hAnsi="Arial"/>
                <w:sz w:val="20"/>
              </w:rPr>
            </w:pPr>
            <w:r w:rsidRPr="00D94F74">
              <w:rPr>
                <w:rFonts w:ascii="Arial" w:hAnsi="Arial"/>
                <w:sz w:val="20"/>
              </w:rPr>
              <w:t>24</w:t>
            </w:r>
          </w:p>
        </w:tc>
        <w:tc>
          <w:tcPr>
            <w:tcW w:w="2551" w:type="dxa"/>
          </w:tcPr>
          <w:p w14:paraId="29B34547" w14:textId="7650CB9E" w:rsidR="00DA3B8A" w:rsidRPr="00D94F74" w:rsidRDefault="00DA3B8A" w:rsidP="00D94F74">
            <w:pPr>
              <w:spacing w:after="120"/>
              <w:jc w:val="right"/>
              <w:rPr>
                <w:rFonts w:ascii="Arial" w:hAnsi="Arial"/>
                <w:sz w:val="20"/>
              </w:rPr>
            </w:pPr>
            <w:r w:rsidRPr="00D94F74">
              <w:rPr>
                <w:rFonts w:ascii="Arial" w:hAnsi="Arial"/>
                <w:sz w:val="20"/>
              </w:rPr>
              <w:t>72</w:t>
            </w:r>
          </w:p>
        </w:tc>
      </w:tr>
      <w:tr w:rsidR="00DA3B8A" w:rsidRPr="00D94F74" w14:paraId="31255BC9" w14:textId="77777777" w:rsidTr="00D94F74">
        <w:tc>
          <w:tcPr>
            <w:tcW w:w="1242" w:type="dxa"/>
          </w:tcPr>
          <w:p w14:paraId="7CFFC74B" w14:textId="4EDA12CC" w:rsidR="00DA3B8A" w:rsidRPr="00D94F74" w:rsidRDefault="00DA3B8A" w:rsidP="00D94F74">
            <w:pPr>
              <w:spacing w:after="120"/>
              <w:rPr>
                <w:rFonts w:ascii="Arial" w:hAnsi="Arial"/>
                <w:sz w:val="20"/>
              </w:rPr>
            </w:pPr>
            <w:r w:rsidRPr="00D94F74">
              <w:rPr>
                <w:rFonts w:ascii="Arial" w:hAnsi="Arial"/>
                <w:sz w:val="20"/>
              </w:rPr>
              <w:t>baja</w:t>
            </w:r>
          </w:p>
        </w:tc>
        <w:tc>
          <w:tcPr>
            <w:tcW w:w="2425" w:type="dxa"/>
          </w:tcPr>
          <w:p w14:paraId="7B8D8E11" w14:textId="6A64D817" w:rsidR="00DA3B8A" w:rsidRPr="00D94F74" w:rsidRDefault="00DA3B8A" w:rsidP="00D94F74">
            <w:pPr>
              <w:spacing w:after="120"/>
              <w:jc w:val="right"/>
              <w:rPr>
                <w:rFonts w:ascii="Arial" w:hAnsi="Arial"/>
                <w:sz w:val="20"/>
              </w:rPr>
            </w:pPr>
            <w:r w:rsidRPr="00D94F74">
              <w:rPr>
                <w:rFonts w:ascii="Arial" w:hAnsi="Arial"/>
                <w:sz w:val="20"/>
              </w:rPr>
              <w:t>48</w:t>
            </w:r>
          </w:p>
        </w:tc>
        <w:tc>
          <w:tcPr>
            <w:tcW w:w="2551" w:type="dxa"/>
          </w:tcPr>
          <w:p w14:paraId="00900BE7" w14:textId="349FD67B" w:rsidR="00DA3B8A" w:rsidRPr="00D94F74" w:rsidRDefault="00DA3B8A" w:rsidP="00D94F74">
            <w:pPr>
              <w:spacing w:after="120"/>
              <w:jc w:val="right"/>
              <w:rPr>
                <w:rFonts w:ascii="Arial" w:hAnsi="Arial"/>
                <w:sz w:val="20"/>
              </w:rPr>
            </w:pPr>
            <w:r w:rsidRPr="00D94F74">
              <w:rPr>
                <w:rFonts w:ascii="Arial" w:hAnsi="Arial"/>
                <w:sz w:val="20"/>
              </w:rPr>
              <w:t>120</w:t>
            </w:r>
          </w:p>
        </w:tc>
      </w:tr>
    </w:tbl>
    <w:p w14:paraId="3EAA2C14" w14:textId="4EAE671F" w:rsidR="00395C6C" w:rsidRPr="003612DD" w:rsidRDefault="00DA3B8A" w:rsidP="00AF46D6">
      <w:pPr>
        <w:spacing w:before="360"/>
      </w:pPr>
      <w:r>
        <w:lastRenderedPageBreak/>
        <w:t>Para el cálculo del tiempo de respuesta se excluirán los posibles incrementos de tiempo provocados por la intervención inevitable en el proceso de resolución por parte de terceros y que impidan dar respuesta según los plazos establecidos.</w:t>
      </w:r>
    </w:p>
    <w:p w14:paraId="7BD90659" w14:textId="576CCBF7" w:rsidR="004776B0" w:rsidRPr="003612DD" w:rsidRDefault="004776B0" w:rsidP="003C356C">
      <w:bookmarkStart w:id="39" w:name="_Toc23701256"/>
      <w:bookmarkEnd w:id="37"/>
      <w:bookmarkEnd w:id="38"/>
      <w:bookmarkEnd w:id="39"/>
    </w:p>
    <w:sectPr w:rsidR="004776B0" w:rsidRPr="003612DD" w:rsidSect="00C44643">
      <w:type w:val="oddPage"/>
      <w:pgSz w:w="11906" w:h="16838" w:code="9"/>
      <w:pgMar w:top="1928" w:right="1418" w:bottom="1400" w:left="1418"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05BF1" w14:textId="77777777" w:rsidR="00CC4F09" w:rsidRDefault="00CC4F09" w:rsidP="00397056">
      <w:pPr>
        <w:spacing w:after="0" w:line="240" w:lineRule="auto"/>
      </w:pPr>
      <w:r>
        <w:separator/>
      </w:r>
    </w:p>
  </w:endnote>
  <w:endnote w:type="continuationSeparator" w:id="0">
    <w:p w14:paraId="76490D87" w14:textId="77777777" w:rsidR="00CC4F09" w:rsidRDefault="00CC4F09" w:rsidP="0039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CC28C" w14:textId="6693EDFD" w:rsidR="00105C0B" w:rsidRPr="00CE009F" w:rsidRDefault="00105C0B" w:rsidP="00CE009F">
    <w:pPr>
      <w:pStyle w:val="Piedepgina"/>
    </w:pPr>
    <w:r w:rsidRPr="00CE009F">
      <w:rPr>
        <w:b/>
        <w:spacing w:val="40"/>
      </w:rPr>
      <w:fldChar w:fldCharType="begin"/>
    </w:r>
    <w:r w:rsidRPr="00CE009F">
      <w:rPr>
        <w:b/>
        <w:spacing w:val="40"/>
      </w:rPr>
      <w:instrText>PAGE   \* MERGEFORMAT</w:instrText>
    </w:r>
    <w:r w:rsidRPr="00CE009F">
      <w:rPr>
        <w:b/>
        <w:spacing w:val="40"/>
      </w:rPr>
      <w:fldChar w:fldCharType="separate"/>
    </w:r>
    <w:r w:rsidR="00F54F68">
      <w:rPr>
        <w:b/>
        <w:noProof/>
        <w:spacing w:val="40"/>
      </w:rPr>
      <w:t>2</w:t>
    </w:r>
    <w:r w:rsidRPr="00CE009F">
      <w:rPr>
        <w:b/>
        <w:spacing w:val="40"/>
      </w:rPr>
      <w:fldChar w:fldCharType="end"/>
    </w:r>
    <w:r w:rsidRPr="00CE009F">
      <w:rPr>
        <w:spacing w:val="40"/>
      </w:rPr>
      <w:t>/</w:t>
    </w:r>
    <w:r w:rsidRPr="00CE009F">
      <w:rPr>
        <w:spacing w:val="40"/>
      </w:rPr>
      <w:fldChar w:fldCharType="begin"/>
    </w:r>
    <w:r w:rsidRPr="00CE009F">
      <w:rPr>
        <w:spacing w:val="40"/>
      </w:rPr>
      <w:instrText xml:space="preserve"> NUMPAGES </w:instrText>
    </w:r>
    <w:r w:rsidRPr="00CE009F">
      <w:rPr>
        <w:spacing w:val="40"/>
      </w:rPr>
      <w:fldChar w:fldCharType="separate"/>
    </w:r>
    <w:r w:rsidR="00F54F68">
      <w:rPr>
        <w:noProof/>
        <w:spacing w:val="40"/>
      </w:rPr>
      <w:t>17</w:t>
    </w:r>
    <w:r w:rsidRPr="00CE009F">
      <w:rPr>
        <w:spacing w:val="40"/>
      </w:rPr>
      <w:fldChar w:fldCharType="end"/>
    </w:r>
    <w:r w:rsidRPr="00CE009F">
      <w:tab/>
    </w:r>
    <w:r>
      <w:t xml:space="preserve">Pliego de Prescripciones Técnicas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66F01" w14:textId="7FB44A6D" w:rsidR="00105C0B" w:rsidRPr="00CE009F" w:rsidRDefault="00105C0B" w:rsidP="00CE009F">
    <w:pPr>
      <w:pStyle w:val="Piedepgina"/>
    </w:pPr>
    <w:r>
      <w:t>Pliego de Prescripciones Técnicas</w:t>
    </w:r>
    <w:r w:rsidRPr="00CE009F">
      <w:tab/>
    </w:r>
    <w:r w:rsidRPr="00CE009F">
      <w:rPr>
        <w:b/>
        <w:spacing w:val="40"/>
      </w:rPr>
      <w:fldChar w:fldCharType="begin"/>
    </w:r>
    <w:r w:rsidRPr="00CE009F">
      <w:rPr>
        <w:b/>
        <w:spacing w:val="40"/>
      </w:rPr>
      <w:instrText>PAGE   \* MERGEFORMAT</w:instrText>
    </w:r>
    <w:r w:rsidRPr="00CE009F">
      <w:rPr>
        <w:b/>
        <w:spacing w:val="40"/>
      </w:rPr>
      <w:fldChar w:fldCharType="separate"/>
    </w:r>
    <w:r w:rsidR="00F54F68">
      <w:rPr>
        <w:b/>
        <w:noProof/>
        <w:spacing w:val="40"/>
      </w:rPr>
      <w:t>17</w:t>
    </w:r>
    <w:r w:rsidRPr="00CE009F">
      <w:rPr>
        <w:b/>
        <w:spacing w:val="40"/>
      </w:rPr>
      <w:fldChar w:fldCharType="end"/>
    </w:r>
    <w:r w:rsidRPr="00CE009F">
      <w:rPr>
        <w:spacing w:val="40"/>
      </w:rPr>
      <w:t>/</w:t>
    </w:r>
    <w:r w:rsidRPr="00CE009F">
      <w:rPr>
        <w:spacing w:val="40"/>
      </w:rPr>
      <w:fldChar w:fldCharType="begin"/>
    </w:r>
    <w:r w:rsidRPr="00CE009F">
      <w:rPr>
        <w:spacing w:val="40"/>
      </w:rPr>
      <w:instrText xml:space="preserve"> NUMPAGES </w:instrText>
    </w:r>
    <w:r w:rsidRPr="00CE009F">
      <w:rPr>
        <w:spacing w:val="40"/>
      </w:rPr>
      <w:fldChar w:fldCharType="separate"/>
    </w:r>
    <w:r w:rsidR="00F54F68">
      <w:rPr>
        <w:noProof/>
        <w:spacing w:val="40"/>
      </w:rPr>
      <w:t>17</w:t>
    </w:r>
    <w:r w:rsidRPr="00CE009F">
      <w:rPr>
        <w:spacing w:val="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46D6" w14:textId="77777777" w:rsidR="00105C0B" w:rsidRPr="00F8257F" w:rsidRDefault="00105C0B" w:rsidP="00F8257F">
    <w:pPr>
      <w:pStyle w:val="Grfica"/>
      <w:spacing w:after="0"/>
    </w:pPr>
    <w:r>
      <w:rPr>
        <w:noProof/>
        <w:lang w:val="es-ES"/>
      </w:rPr>
      <w:drawing>
        <wp:inline distT="0" distB="0" distL="0" distR="0" wp14:anchorId="58BFD499" wp14:editId="524BD037">
          <wp:extent cx="5579745" cy="233045"/>
          <wp:effectExtent l="0" t="0" r="190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u CSUC per als inform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9745" cy="2330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4DE78" w14:textId="77777777" w:rsidR="00CC4F09" w:rsidRDefault="00CC4F09" w:rsidP="00397056">
      <w:pPr>
        <w:spacing w:after="0" w:line="240" w:lineRule="auto"/>
      </w:pPr>
      <w:r>
        <w:separator/>
      </w:r>
    </w:p>
  </w:footnote>
  <w:footnote w:type="continuationSeparator" w:id="0">
    <w:p w14:paraId="44388DBB" w14:textId="77777777" w:rsidR="00CC4F09" w:rsidRDefault="00CC4F09" w:rsidP="00397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A3AA1" w14:textId="2771A0B7" w:rsidR="00105C0B" w:rsidRDefault="00105C0B">
    <w:pPr>
      <w:pStyle w:val="Encabezado"/>
    </w:pPr>
    <w:r>
      <w:rPr>
        <w:sz w:val="16"/>
        <w:szCs w:val="16"/>
      </w:rPr>
      <w:t>EXP 20 /</w:t>
    </w:r>
    <w:r>
      <w:rPr>
        <w:noProof/>
        <w:lang w:val="es-ES" w:eastAsia="es-ES"/>
      </w:rPr>
      <w:drawing>
        <wp:anchor distT="0" distB="0" distL="114300" distR="114300" simplePos="0" relativeHeight="251655168" behindDoc="0" locked="0" layoutInCell="1" allowOverlap="1" wp14:anchorId="603CF55E" wp14:editId="2C46CD64">
          <wp:simplePos x="0" y="0"/>
          <wp:positionH relativeFrom="page">
            <wp:posOffset>900430</wp:posOffset>
          </wp:positionH>
          <wp:positionV relativeFrom="page">
            <wp:posOffset>431800</wp:posOffset>
          </wp:positionV>
          <wp:extent cx="871200" cy="306000"/>
          <wp:effectExtent l="0" t="0" r="571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CSUC per a docume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200" cy="306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EE875" w14:textId="4D0A2C85" w:rsidR="00105C0B" w:rsidRDefault="00105C0B">
    <w:pPr>
      <w:pStyle w:val="Encabezado"/>
    </w:pPr>
    <w:r>
      <w:rPr>
        <w:sz w:val="16"/>
        <w:szCs w:val="16"/>
      </w:rPr>
      <w:t>EXP 20 /</w:t>
    </w:r>
    <w:r>
      <w:rPr>
        <w:noProof/>
        <w:lang w:val="es-ES" w:eastAsia="es-ES"/>
      </w:rPr>
      <w:drawing>
        <wp:anchor distT="0" distB="0" distL="114300" distR="114300" simplePos="0" relativeHeight="251659264" behindDoc="0" locked="0" layoutInCell="1" allowOverlap="1" wp14:anchorId="52A28402" wp14:editId="33424D85">
          <wp:simplePos x="0" y="0"/>
          <wp:positionH relativeFrom="page">
            <wp:posOffset>1080135</wp:posOffset>
          </wp:positionH>
          <wp:positionV relativeFrom="page">
            <wp:posOffset>431800</wp:posOffset>
          </wp:positionV>
          <wp:extent cx="871200" cy="306000"/>
          <wp:effectExtent l="0" t="0" r="571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CSUC per a docume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200" cy="306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18590" w14:textId="180D230D" w:rsidR="00105C0B" w:rsidRPr="00262DAF" w:rsidRDefault="00947E17" w:rsidP="00947E17">
    <w:pPr>
      <w:pStyle w:val="Encabezado"/>
      <w:ind w:firstLine="709"/>
      <w:jc w:val="center"/>
      <w:rPr>
        <w:sz w:val="16"/>
        <w:szCs w:val="16"/>
      </w:rPr>
    </w:pPr>
    <w:r>
      <w:rPr>
        <w:noProof/>
        <w:sz w:val="16"/>
        <w:szCs w:val="16"/>
        <w:lang w:val="es-ES" w:eastAsia="es-ES"/>
      </w:rPr>
      <w:drawing>
        <wp:anchor distT="0" distB="0" distL="114300" distR="114300" simplePos="0" relativeHeight="251657216" behindDoc="0" locked="0" layoutInCell="1" allowOverlap="1" wp14:anchorId="3C477697" wp14:editId="5FE046D0">
          <wp:simplePos x="0" y="0"/>
          <wp:positionH relativeFrom="page">
            <wp:posOffset>956310</wp:posOffset>
          </wp:positionH>
          <wp:positionV relativeFrom="page">
            <wp:posOffset>447675</wp:posOffset>
          </wp:positionV>
          <wp:extent cx="2541600" cy="46080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CSUC per a docume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1600" cy="4608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rPr>
      <w:drawing>
        <wp:anchor distT="0" distB="0" distL="114300" distR="114300" simplePos="0" relativeHeight="251660288" behindDoc="0" locked="0" layoutInCell="1" allowOverlap="1" wp14:anchorId="3D1B87FA" wp14:editId="4BFC1AC3">
          <wp:simplePos x="0" y="0"/>
          <wp:positionH relativeFrom="column">
            <wp:posOffset>4130040</wp:posOffset>
          </wp:positionH>
          <wp:positionV relativeFrom="paragraph">
            <wp:posOffset>-75565</wp:posOffset>
          </wp:positionV>
          <wp:extent cx="1316990" cy="6159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615950"/>
                  </a:xfrm>
                  <a:prstGeom prst="rect">
                    <a:avLst/>
                  </a:prstGeom>
                  <a:noFill/>
                </pic:spPr>
              </pic:pic>
            </a:graphicData>
          </a:graphic>
        </wp:anchor>
      </w:drawing>
    </w:r>
    <w:r w:rsidR="00105C0B">
      <w:rPr>
        <w:sz w:val="16"/>
        <w:szCs w:val="16"/>
      </w:rPr>
      <w:t>EXPEDIENTE 20/34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1752"/>
    <w:multiLevelType w:val="hybridMultilevel"/>
    <w:tmpl w:val="BFCA394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14C635B"/>
    <w:multiLevelType w:val="hybridMultilevel"/>
    <w:tmpl w:val="E51E33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BC3BA3"/>
    <w:multiLevelType w:val="multilevel"/>
    <w:tmpl w:val="486833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0073B5"/>
    <w:multiLevelType w:val="hybridMultilevel"/>
    <w:tmpl w:val="3FF88050"/>
    <w:lvl w:ilvl="0" w:tplc="04030001">
      <w:start w:val="1"/>
      <w:numFmt w:val="bullet"/>
      <w:lvlText w:val=""/>
      <w:lvlJc w:val="left"/>
      <w:pPr>
        <w:ind w:left="720" w:hanging="360"/>
      </w:pPr>
      <w:rPr>
        <w:rFonts w:ascii="Symbol" w:hAnsi="Symbol" w:hint="default"/>
      </w:rPr>
    </w:lvl>
    <w:lvl w:ilvl="1" w:tplc="E2684C94">
      <w:numFmt w:val="bullet"/>
      <w:lvlText w:val="-"/>
      <w:lvlJc w:val="left"/>
      <w:pPr>
        <w:ind w:left="1440" w:hanging="360"/>
      </w:pPr>
      <w:rPr>
        <w:rFonts w:ascii="Garamond" w:eastAsiaTheme="minorHAnsi" w:hAnsi="Garamond" w:cstheme="minorBid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F310C2C"/>
    <w:multiLevelType w:val="hybridMultilevel"/>
    <w:tmpl w:val="3CDC2C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0D7306F"/>
    <w:multiLevelType w:val="hybridMultilevel"/>
    <w:tmpl w:val="99C809B6"/>
    <w:lvl w:ilvl="0" w:tplc="040A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BF6F9F"/>
    <w:multiLevelType w:val="hybridMultilevel"/>
    <w:tmpl w:val="64D00F96"/>
    <w:lvl w:ilvl="0" w:tplc="040A000F">
      <w:start w:val="1"/>
      <w:numFmt w:val="decimal"/>
      <w:lvlText w:val="%1."/>
      <w:lvlJc w:val="left"/>
      <w:pPr>
        <w:ind w:left="1069" w:hanging="360"/>
      </w:pPr>
      <w:rPr>
        <w:rFonts w:hint="default"/>
      </w:rPr>
    </w:lvl>
    <w:lvl w:ilvl="1" w:tplc="040A0003">
      <w:start w:val="1"/>
      <w:numFmt w:val="bullet"/>
      <w:lvlText w:val="o"/>
      <w:lvlJc w:val="left"/>
      <w:pPr>
        <w:ind w:left="1789" w:hanging="360"/>
      </w:pPr>
      <w:rPr>
        <w:rFonts w:ascii="Courier New" w:hAnsi="Courier New" w:cs="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cs="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cs="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7" w15:restartNumberingAfterBreak="0">
    <w:nsid w:val="160D35C8"/>
    <w:multiLevelType w:val="hybridMultilevel"/>
    <w:tmpl w:val="FAFAE6D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7EB3726"/>
    <w:multiLevelType w:val="hybridMultilevel"/>
    <w:tmpl w:val="B98E21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80F3262"/>
    <w:multiLevelType w:val="hybridMultilevel"/>
    <w:tmpl w:val="24F649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CBE6468"/>
    <w:multiLevelType w:val="hybridMultilevel"/>
    <w:tmpl w:val="B3C4FB96"/>
    <w:lvl w:ilvl="0" w:tplc="69F8D17A">
      <w:start w:val="2"/>
      <w:numFmt w:val="bullet"/>
      <w:lvlText w:val=""/>
      <w:lvlJc w:val="left"/>
      <w:pPr>
        <w:ind w:left="720" w:hanging="360"/>
      </w:pPr>
      <w:rPr>
        <w:rFonts w:ascii="Garamond" w:eastAsiaTheme="minorHAnsi" w:hAnsi="Garamond"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F5F4115"/>
    <w:multiLevelType w:val="multilevel"/>
    <w:tmpl w:val="60E6BB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F585F"/>
    <w:multiLevelType w:val="hybridMultilevel"/>
    <w:tmpl w:val="20420202"/>
    <w:lvl w:ilvl="0" w:tplc="04030001">
      <w:start w:val="1"/>
      <w:numFmt w:val="bullet"/>
      <w:lvlText w:val=""/>
      <w:lvlJc w:val="left"/>
      <w:pPr>
        <w:ind w:left="720" w:hanging="360"/>
      </w:pPr>
      <w:rPr>
        <w:rFonts w:ascii="Symbol" w:hAnsi="Symbol" w:hint="default"/>
      </w:rPr>
    </w:lvl>
    <w:lvl w:ilvl="1" w:tplc="84485F02">
      <w:numFmt w:val="bullet"/>
      <w:lvlText w:val="•"/>
      <w:lvlJc w:val="left"/>
      <w:pPr>
        <w:ind w:left="1785" w:hanging="705"/>
      </w:pPr>
      <w:rPr>
        <w:rFonts w:ascii="Arial" w:eastAsiaTheme="majorEastAsia" w:hAnsi="Arial" w:cs="Arial" w:hint="default"/>
        <w:b/>
        <w:sz w:val="22"/>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3744004"/>
    <w:multiLevelType w:val="multilevel"/>
    <w:tmpl w:val="1E82A6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49101B0"/>
    <w:multiLevelType w:val="multilevel"/>
    <w:tmpl w:val="E2CA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D5362"/>
    <w:multiLevelType w:val="hybridMultilevel"/>
    <w:tmpl w:val="5D7487C6"/>
    <w:lvl w:ilvl="0" w:tplc="81FC088E">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522E57"/>
    <w:multiLevelType w:val="hybridMultilevel"/>
    <w:tmpl w:val="049C22D8"/>
    <w:lvl w:ilvl="0" w:tplc="0403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7E07019"/>
    <w:multiLevelType w:val="hybridMultilevel"/>
    <w:tmpl w:val="60E6EDBC"/>
    <w:lvl w:ilvl="0" w:tplc="81FC088E">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611DCF"/>
    <w:multiLevelType w:val="hybridMultilevel"/>
    <w:tmpl w:val="A36E23AA"/>
    <w:lvl w:ilvl="0" w:tplc="81FC088E">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91A14"/>
    <w:multiLevelType w:val="hybridMultilevel"/>
    <w:tmpl w:val="6DD062DC"/>
    <w:lvl w:ilvl="0" w:tplc="04030001">
      <w:start w:val="1"/>
      <w:numFmt w:val="bullet"/>
      <w:lvlText w:val=""/>
      <w:lvlJc w:val="left"/>
      <w:pPr>
        <w:ind w:left="1485" w:hanging="360"/>
      </w:pPr>
      <w:rPr>
        <w:rFonts w:ascii="Symbol" w:hAnsi="Symbol" w:hint="default"/>
      </w:rPr>
    </w:lvl>
    <w:lvl w:ilvl="1" w:tplc="04030003" w:tentative="1">
      <w:start w:val="1"/>
      <w:numFmt w:val="bullet"/>
      <w:lvlText w:val="o"/>
      <w:lvlJc w:val="left"/>
      <w:pPr>
        <w:ind w:left="2205" w:hanging="360"/>
      </w:pPr>
      <w:rPr>
        <w:rFonts w:ascii="Courier New" w:hAnsi="Courier New" w:cs="Courier New" w:hint="default"/>
      </w:rPr>
    </w:lvl>
    <w:lvl w:ilvl="2" w:tplc="04030005" w:tentative="1">
      <w:start w:val="1"/>
      <w:numFmt w:val="bullet"/>
      <w:lvlText w:val=""/>
      <w:lvlJc w:val="left"/>
      <w:pPr>
        <w:ind w:left="2925" w:hanging="360"/>
      </w:pPr>
      <w:rPr>
        <w:rFonts w:ascii="Wingdings" w:hAnsi="Wingdings" w:hint="default"/>
      </w:rPr>
    </w:lvl>
    <w:lvl w:ilvl="3" w:tplc="04030001" w:tentative="1">
      <w:start w:val="1"/>
      <w:numFmt w:val="bullet"/>
      <w:lvlText w:val=""/>
      <w:lvlJc w:val="left"/>
      <w:pPr>
        <w:ind w:left="3645" w:hanging="360"/>
      </w:pPr>
      <w:rPr>
        <w:rFonts w:ascii="Symbol" w:hAnsi="Symbol" w:hint="default"/>
      </w:rPr>
    </w:lvl>
    <w:lvl w:ilvl="4" w:tplc="04030003" w:tentative="1">
      <w:start w:val="1"/>
      <w:numFmt w:val="bullet"/>
      <w:lvlText w:val="o"/>
      <w:lvlJc w:val="left"/>
      <w:pPr>
        <w:ind w:left="4365" w:hanging="360"/>
      </w:pPr>
      <w:rPr>
        <w:rFonts w:ascii="Courier New" w:hAnsi="Courier New" w:cs="Courier New" w:hint="default"/>
      </w:rPr>
    </w:lvl>
    <w:lvl w:ilvl="5" w:tplc="04030005" w:tentative="1">
      <w:start w:val="1"/>
      <w:numFmt w:val="bullet"/>
      <w:lvlText w:val=""/>
      <w:lvlJc w:val="left"/>
      <w:pPr>
        <w:ind w:left="5085" w:hanging="360"/>
      </w:pPr>
      <w:rPr>
        <w:rFonts w:ascii="Wingdings" w:hAnsi="Wingdings" w:hint="default"/>
      </w:rPr>
    </w:lvl>
    <w:lvl w:ilvl="6" w:tplc="04030001" w:tentative="1">
      <w:start w:val="1"/>
      <w:numFmt w:val="bullet"/>
      <w:lvlText w:val=""/>
      <w:lvlJc w:val="left"/>
      <w:pPr>
        <w:ind w:left="5805" w:hanging="360"/>
      </w:pPr>
      <w:rPr>
        <w:rFonts w:ascii="Symbol" w:hAnsi="Symbol" w:hint="default"/>
      </w:rPr>
    </w:lvl>
    <w:lvl w:ilvl="7" w:tplc="04030003" w:tentative="1">
      <w:start w:val="1"/>
      <w:numFmt w:val="bullet"/>
      <w:lvlText w:val="o"/>
      <w:lvlJc w:val="left"/>
      <w:pPr>
        <w:ind w:left="6525" w:hanging="360"/>
      </w:pPr>
      <w:rPr>
        <w:rFonts w:ascii="Courier New" w:hAnsi="Courier New" w:cs="Courier New" w:hint="default"/>
      </w:rPr>
    </w:lvl>
    <w:lvl w:ilvl="8" w:tplc="04030005" w:tentative="1">
      <w:start w:val="1"/>
      <w:numFmt w:val="bullet"/>
      <w:lvlText w:val=""/>
      <w:lvlJc w:val="left"/>
      <w:pPr>
        <w:ind w:left="7245" w:hanging="360"/>
      </w:pPr>
      <w:rPr>
        <w:rFonts w:ascii="Wingdings" w:hAnsi="Wingdings" w:hint="default"/>
      </w:rPr>
    </w:lvl>
  </w:abstractNum>
  <w:abstractNum w:abstractNumId="20" w15:restartNumberingAfterBreak="0">
    <w:nsid w:val="2EE702A8"/>
    <w:multiLevelType w:val="hybridMultilevel"/>
    <w:tmpl w:val="2A008AEA"/>
    <w:lvl w:ilvl="0" w:tplc="04030001">
      <w:start w:val="1"/>
      <w:numFmt w:val="bullet"/>
      <w:lvlText w:val=""/>
      <w:lvlJc w:val="left"/>
      <w:pPr>
        <w:ind w:left="823" w:hanging="360"/>
      </w:pPr>
      <w:rPr>
        <w:rFonts w:ascii="Symbol" w:hAnsi="Symbol" w:hint="default"/>
      </w:rPr>
    </w:lvl>
    <w:lvl w:ilvl="1" w:tplc="04030003" w:tentative="1">
      <w:start w:val="1"/>
      <w:numFmt w:val="bullet"/>
      <w:lvlText w:val="o"/>
      <w:lvlJc w:val="left"/>
      <w:pPr>
        <w:ind w:left="1543" w:hanging="360"/>
      </w:pPr>
      <w:rPr>
        <w:rFonts w:ascii="Courier New" w:hAnsi="Courier New" w:cs="Courier New" w:hint="default"/>
      </w:rPr>
    </w:lvl>
    <w:lvl w:ilvl="2" w:tplc="04030005" w:tentative="1">
      <w:start w:val="1"/>
      <w:numFmt w:val="bullet"/>
      <w:lvlText w:val=""/>
      <w:lvlJc w:val="left"/>
      <w:pPr>
        <w:ind w:left="2263" w:hanging="360"/>
      </w:pPr>
      <w:rPr>
        <w:rFonts w:ascii="Wingdings" w:hAnsi="Wingdings" w:hint="default"/>
      </w:rPr>
    </w:lvl>
    <w:lvl w:ilvl="3" w:tplc="04030001" w:tentative="1">
      <w:start w:val="1"/>
      <w:numFmt w:val="bullet"/>
      <w:lvlText w:val=""/>
      <w:lvlJc w:val="left"/>
      <w:pPr>
        <w:ind w:left="2983" w:hanging="360"/>
      </w:pPr>
      <w:rPr>
        <w:rFonts w:ascii="Symbol" w:hAnsi="Symbol" w:hint="default"/>
      </w:rPr>
    </w:lvl>
    <w:lvl w:ilvl="4" w:tplc="04030003" w:tentative="1">
      <w:start w:val="1"/>
      <w:numFmt w:val="bullet"/>
      <w:lvlText w:val="o"/>
      <w:lvlJc w:val="left"/>
      <w:pPr>
        <w:ind w:left="3703" w:hanging="360"/>
      </w:pPr>
      <w:rPr>
        <w:rFonts w:ascii="Courier New" w:hAnsi="Courier New" w:cs="Courier New" w:hint="default"/>
      </w:rPr>
    </w:lvl>
    <w:lvl w:ilvl="5" w:tplc="04030005" w:tentative="1">
      <w:start w:val="1"/>
      <w:numFmt w:val="bullet"/>
      <w:lvlText w:val=""/>
      <w:lvlJc w:val="left"/>
      <w:pPr>
        <w:ind w:left="4423" w:hanging="360"/>
      </w:pPr>
      <w:rPr>
        <w:rFonts w:ascii="Wingdings" w:hAnsi="Wingdings" w:hint="default"/>
      </w:rPr>
    </w:lvl>
    <w:lvl w:ilvl="6" w:tplc="04030001" w:tentative="1">
      <w:start w:val="1"/>
      <w:numFmt w:val="bullet"/>
      <w:lvlText w:val=""/>
      <w:lvlJc w:val="left"/>
      <w:pPr>
        <w:ind w:left="5143" w:hanging="360"/>
      </w:pPr>
      <w:rPr>
        <w:rFonts w:ascii="Symbol" w:hAnsi="Symbol" w:hint="default"/>
      </w:rPr>
    </w:lvl>
    <w:lvl w:ilvl="7" w:tplc="04030003" w:tentative="1">
      <w:start w:val="1"/>
      <w:numFmt w:val="bullet"/>
      <w:lvlText w:val="o"/>
      <w:lvlJc w:val="left"/>
      <w:pPr>
        <w:ind w:left="5863" w:hanging="360"/>
      </w:pPr>
      <w:rPr>
        <w:rFonts w:ascii="Courier New" w:hAnsi="Courier New" w:cs="Courier New" w:hint="default"/>
      </w:rPr>
    </w:lvl>
    <w:lvl w:ilvl="8" w:tplc="04030005" w:tentative="1">
      <w:start w:val="1"/>
      <w:numFmt w:val="bullet"/>
      <w:lvlText w:val=""/>
      <w:lvlJc w:val="left"/>
      <w:pPr>
        <w:ind w:left="6583" w:hanging="360"/>
      </w:pPr>
      <w:rPr>
        <w:rFonts w:ascii="Wingdings" w:hAnsi="Wingdings" w:hint="default"/>
      </w:rPr>
    </w:lvl>
  </w:abstractNum>
  <w:abstractNum w:abstractNumId="21" w15:restartNumberingAfterBreak="0">
    <w:nsid w:val="2F550B1C"/>
    <w:multiLevelType w:val="hybridMultilevel"/>
    <w:tmpl w:val="D2C2E340"/>
    <w:lvl w:ilvl="0" w:tplc="04030017">
      <w:start w:val="1"/>
      <w:numFmt w:val="lowerLetter"/>
      <w:lvlText w:val="%1)"/>
      <w:lvlJc w:val="left"/>
      <w:pPr>
        <w:ind w:left="1494"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FF63AAA"/>
    <w:multiLevelType w:val="hybridMultilevel"/>
    <w:tmpl w:val="A0BCC2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2D255C4"/>
    <w:multiLevelType w:val="hybridMultilevel"/>
    <w:tmpl w:val="1BD898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4E855C2"/>
    <w:multiLevelType w:val="hybridMultilevel"/>
    <w:tmpl w:val="8B26BC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78D6AB8"/>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D652D2"/>
    <w:multiLevelType w:val="hybridMultilevel"/>
    <w:tmpl w:val="10BAF2A0"/>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D7A27C3"/>
    <w:multiLevelType w:val="hybridMultilevel"/>
    <w:tmpl w:val="5098690C"/>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451C7344"/>
    <w:multiLevelType w:val="hybridMultilevel"/>
    <w:tmpl w:val="B99C0C0C"/>
    <w:lvl w:ilvl="0" w:tplc="04030001">
      <w:start w:val="1"/>
      <w:numFmt w:val="bullet"/>
      <w:lvlText w:val=""/>
      <w:lvlJc w:val="left"/>
      <w:pPr>
        <w:ind w:left="720" w:hanging="360"/>
      </w:pPr>
      <w:rPr>
        <w:rFonts w:ascii="Symbol" w:hAnsi="Symbol" w:hint="default"/>
      </w:rPr>
    </w:lvl>
    <w:lvl w:ilvl="1" w:tplc="AE70722E">
      <w:numFmt w:val="bullet"/>
      <w:lvlText w:val="•"/>
      <w:lvlJc w:val="left"/>
      <w:pPr>
        <w:ind w:left="1785" w:hanging="705"/>
      </w:pPr>
      <w:rPr>
        <w:rFonts w:ascii="Garamond" w:eastAsiaTheme="minorHAnsi" w:hAnsi="Garamond" w:cstheme="minorBid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6C94034"/>
    <w:multiLevelType w:val="hybridMultilevel"/>
    <w:tmpl w:val="845EAB1E"/>
    <w:lvl w:ilvl="0" w:tplc="400ED16A">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9C30F70"/>
    <w:multiLevelType w:val="hybridMultilevel"/>
    <w:tmpl w:val="B9E61EDC"/>
    <w:lvl w:ilvl="0" w:tplc="040A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ACA7AED"/>
    <w:multiLevelType w:val="hybridMultilevel"/>
    <w:tmpl w:val="40C2A6C6"/>
    <w:lvl w:ilvl="0" w:tplc="400ED16A">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B9A070D"/>
    <w:multiLevelType w:val="hybridMultilevel"/>
    <w:tmpl w:val="3F2619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BC45D8E"/>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C30F19"/>
    <w:multiLevelType w:val="hybridMultilevel"/>
    <w:tmpl w:val="80ACA512"/>
    <w:lvl w:ilvl="0" w:tplc="400ED16A">
      <w:numFmt w:val="bullet"/>
      <w:lvlText w:val="•"/>
      <w:lvlJc w:val="left"/>
      <w:pPr>
        <w:ind w:left="720" w:hanging="360"/>
      </w:pPr>
      <w:rPr>
        <w:rFonts w:ascii="Arial"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D7F4BE4"/>
    <w:multiLevelType w:val="multilevel"/>
    <w:tmpl w:val="7D80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D408C1"/>
    <w:multiLevelType w:val="multilevel"/>
    <w:tmpl w:val="EC3C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DB7D03"/>
    <w:multiLevelType w:val="hybridMultilevel"/>
    <w:tmpl w:val="632871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32D2819"/>
    <w:multiLevelType w:val="hybridMultilevel"/>
    <w:tmpl w:val="27D2061C"/>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5586357A"/>
    <w:multiLevelType w:val="hybridMultilevel"/>
    <w:tmpl w:val="8C449B7A"/>
    <w:lvl w:ilvl="0" w:tplc="0C0A0001">
      <w:start w:val="1"/>
      <w:numFmt w:val="bullet"/>
      <w:lvlText w:val=""/>
      <w:lvlJc w:val="left"/>
      <w:pPr>
        <w:ind w:left="709" w:hanging="360"/>
      </w:pPr>
      <w:rPr>
        <w:rFonts w:ascii="Symbol" w:hAnsi="Symbol" w:hint="default"/>
      </w:rPr>
    </w:lvl>
    <w:lvl w:ilvl="1" w:tplc="04030003" w:tentative="1">
      <w:start w:val="1"/>
      <w:numFmt w:val="bullet"/>
      <w:lvlText w:val="o"/>
      <w:lvlJc w:val="left"/>
      <w:pPr>
        <w:ind w:left="1429" w:hanging="360"/>
      </w:pPr>
      <w:rPr>
        <w:rFonts w:ascii="Courier New" w:hAnsi="Courier New" w:cs="Courier New" w:hint="default"/>
      </w:rPr>
    </w:lvl>
    <w:lvl w:ilvl="2" w:tplc="04030005" w:tentative="1">
      <w:start w:val="1"/>
      <w:numFmt w:val="bullet"/>
      <w:lvlText w:val=""/>
      <w:lvlJc w:val="left"/>
      <w:pPr>
        <w:ind w:left="2149" w:hanging="360"/>
      </w:pPr>
      <w:rPr>
        <w:rFonts w:ascii="Wingdings" w:hAnsi="Wingdings" w:hint="default"/>
      </w:rPr>
    </w:lvl>
    <w:lvl w:ilvl="3" w:tplc="04030001" w:tentative="1">
      <w:start w:val="1"/>
      <w:numFmt w:val="bullet"/>
      <w:lvlText w:val=""/>
      <w:lvlJc w:val="left"/>
      <w:pPr>
        <w:ind w:left="2869" w:hanging="360"/>
      </w:pPr>
      <w:rPr>
        <w:rFonts w:ascii="Symbol" w:hAnsi="Symbol" w:hint="default"/>
      </w:rPr>
    </w:lvl>
    <w:lvl w:ilvl="4" w:tplc="04030003" w:tentative="1">
      <w:start w:val="1"/>
      <w:numFmt w:val="bullet"/>
      <w:lvlText w:val="o"/>
      <w:lvlJc w:val="left"/>
      <w:pPr>
        <w:ind w:left="3589" w:hanging="360"/>
      </w:pPr>
      <w:rPr>
        <w:rFonts w:ascii="Courier New" w:hAnsi="Courier New" w:cs="Courier New" w:hint="default"/>
      </w:rPr>
    </w:lvl>
    <w:lvl w:ilvl="5" w:tplc="04030005" w:tentative="1">
      <w:start w:val="1"/>
      <w:numFmt w:val="bullet"/>
      <w:lvlText w:val=""/>
      <w:lvlJc w:val="left"/>
      <w:pPr>
        <w:ind w:left="4309" w:hanging="360"/>
      </w:pPr>
      <w:rPr>
        <w:rFonts w:ascii="Wingdings" w:hAnsi="Wingdings" w:hint="default"/>
      </w:rPr>
    </w:lvl>
    <w:lvl w:ilvl="6" w:tplc="04030001" w:tentative="1">
      <w:start w:val="1"/>
      <w:numFmt w:val="bullet"/>
      <w:lvlText w:val=""/>
      <w:lvlJc w:val="left"/>
      <w:pPr>
        <w:ind w:left="5029" w:hanging="360"/>
      </w:pPr>
      <w:rPr>
        <w:rFonts w:ascii="Symbol" w:hAnsi="Symbol" w:hint="default"/>
      </w:rPr>
    </w:lvl>
    <w:lvl w:ilvl="7" w:tplc="04030003" w:tentative="1">
      <w:start w:val="1"/>
      <w:numFmt w:val="bullet"/>
      <w:lvlText w:val="o"/>
      <w:lvlJc w:val="left"/>
      <w:pPr>
        <w:ind w:left="5749" w:hanging="360"/>
      </w:pPr>
      <w:rPr>
        <w:rFonts w:ascii="Courier New" w:hAnsi="Courier New" w:cs="Courier New" w:hint="default"/>
      </w:rPr>
    </w:lvl>
    <w:lvl w:ilvl="8" w:tplc="04030005" w:tentative="1">
      <w:start w:val="1"/>
      <w:numFmt w:val="bullet"/>
      <w:lvlText w:val=""/>
      <w:lvlJc w:val="left"/>
      <w:pPr>
        <w:ind w:left="6469" w:hanging="360"/>
      </w:pPr>
      <w:rPr>
        <w:rFonts w:ascii="Wingdings" w:hAnsi="Wingdings" w:hint="default"/>
      </w:rPr>
    </w:lvl>
  </w:abstractNum>
  <w:abstractNum w:abstractNumId="40" w15:restartNumberingAfterBreak="0">
    <w:nsid w:val="55957DF9"/>
    <w:multiLevelType w:val="multilevel"/>
    <w:tmpl w:val="60E6BB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255AD7"/>
    <w:multiLevelType w:val="multilevel"/>
    <w:tmpl w:val="1C0EC99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5A052FA4"/>
    <w:multiLevelType w:val="multilevel"/>
    <w:tmpl w:val="60E6BB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30262A"/>
    <w:multiLevelType w:val="hybridMultilevel"/>
    <w:tmpl w:val="C7603D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007CE"/>
    <w:multiLevelType w:val="hybridMultilevel"/>
    <w:tmpl w:val="2ED4C10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BF63427"/>
    <w:multiLevelType w:val="hybridMultilevel"/>
    <w:tmpl w:val="020836E0"/>
    <w:lvl w:ilvl="0" w:tplc="04030017">
      <w:start w:val="1"/>
      <w:numFmt w:val="lowerLetter"/>
      <w:lvlText w:val="%1)"/>
      <w:lvlJc w:val="left"/>
      <w:pPr>
        <w:ind w:left="360" w:hanging="360"/>
      </w:pPr>
      <w:rPr>
        <w:rFonts w:hint="default"/>
      </w:rPr>
    </w:lvl>
    <w:lvl w:ilvl="1" w:tplc="0C0A0003">
      <w:start w:val="1"/>
      <w:numFmt w:val="bullet"/>
      <w:lvlText w:val="o"/>
      <w:lvlJc w:val="left"/>
      <w:pPr>
        <w:ind w:left="306" w:hanging="360"/>
      </w:pPr>
      <w:rPr>
        <w:rFonts w:ascii="Courier New" w:hAnsi="Courier New" w:cs="Courier New" w:hint="default"/>
      </w:rPr>
    </w:lvl>
    <w:lvl w:ilvl="2" w:tplc="0C0A0005">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abstractNum w:abstractNumId="46" w15:restartNumberingAfterBreak="0">
    <w:nsid w:val="60EC7CBF"/>
    <w:multiLevelType w:val="hybridMultilevel"/>
    <w:tmpl w:val="A2B0C2EE"/>
    <w:lvl w:ilvl="0" w:tplc="400ED16A">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F14E5E"/>
    <w:multiLevelType w:val="hybridMultilevel"/>
    <w:tmpl w:val="6E9CC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17049B2"/>
    <w:multiLevelType w:val="hybridMultilevel"/>
    <w:tmpl w:val="EFBEFDA6"/>
    <w:lvl w:ilvl="0" w:tplc="81FC088E">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AF1FE9"/>
    <w:multiLevelType w:val="hybridMultilevel"/>
    <w:tmpl w:val="2A00B61C"/>
    <w:lvl w:ilvl="0" w:tplc="040A000F">
      <w:start w:val="1"/>
      <w:numFmt w:val="decimal"/>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3516D97"/>
    <w:multiLevelType w:val="hybridMultilevel"/>
    <w:tmpl w:val="2AB4A4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3550CF8"/>
    <w:multiLevelType w:val="hybridMultilevel"/>
    <w:tmpl w:val="588A0108"/>
    <w:lvl w:ilvl="0" w:tplc="D3AE4134">
      <w:start w:val="1"/>
      <w:numFmt w:val="decimal"/>
      <w:pStyle w:val="Figura"/>
      <w:lvlText w:val="Figura %1."/>
      <w:lvlJc w:val="left"/>
      <w:pPr>
        <w:tabs>
          <w:tab w:val="num" w:pos="1080"/>
        </w:tabs>
        <w:ind w:left="0" w:firstLine="0"/>
      </w:pPr>
      <w:rPr>
        <w:rFonts w:ascii="Arial" w:hAnsi="Arial" w:hint="default"/>
        <w:b w:val="0"/>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656A5D4E"/>
    <w:multiLevelType w:val="hybridMultilevel"/>
    <w:tmpl w:val="9870AD3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3" w15:restartNumberingAfterBreak="0">
    <w:nsid w:val="66134142"/>
    <w:multiLevelType w:val="hybridMultilevel"/>
    <w:tmpl w:val="A640870A"/>
    <w:lvl w:ilvl="0" w:tplc="8EF4C882">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2D4F84"/>
    <w:multiLevelType w:val="multilevel"/>
    <w:tmpl w:val="60E6BB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89F7C70"/>
    <w:multiLevelType w:val="hybridMultilevel"/>
    <w:tmpl w:val="62F6CB58"/>
    <w:lvl w:ilvl="0" w:tplc="040A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690405FD"/>
    <w:multiLevelType w:val="hybridMultilevel"/>
    <w:tmpl w:val="BE86D2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691F14B5"/>
    <w:multiLevelType w:val="hybridMultilevel"/>
    <w:tmpl w:val="30B4BCD2"/>
    <w:lvl w:ilvl="0" w:tplc="9D183FAC">
      <w:start w:val="1"/>
      <w:numFmt w:val="decimal"/>
      <w:pStyle w:val="Ttulo6"/>
      <w:lvlText w:val="Article %1."/>
      <w:lvlJc w:val="left"/>
      <w:pPr>
        <w:ind w:left="360" w:hanging="360"/>
      </w:pPr>
      <w:rPr>
        <w:rFonts w:ascii="Arial" w:hAnsi="Arial" w:hint="default"/>
        <w:b/>
        <w:i w:val="0"/>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69C14FE7"/>
    <w:multiLevelType w:val="hybridMultilevel"/>
    <w:tmpl w:val="50B6C64C"/>
    <w:lvl w:ilvl="0" w:tplc="3A040B3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A574DD5"/>
    <w:multiLevelType w:val="hybridMultilevel"/>
    <w:tmpl w:val="2DBE1F3A"/>
    <w:lvl w:ilvl="0" w:tplc="400ED16A">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6ED7069B"/>
    <w:multiLevelType w:val="hybridMultilevel"/>
    <w:tmpl w:val="3022F8C0"/>
    <w:lvl w:ilvl="0" w:tplc="400ED16A">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72DA77E4"/>
    <w:multiLevelType w:val="hybridMultilevel"/>
    <w:tmpl w:val="6B7E4D8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75713C1B"/>
    <w:multiLevelType w:val="hybridMultilevel"/>
    <w:tmpl w:val="451244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76D52C1E"/>
    <w:multiLevelType w:val="hybridMultilevel"/>
    <w:tmpl w:val="BF78DA34"/>
    <w:lvl w:ilvl="0" w:tplc="959AC38C">
      <w:numFmt w:val="bullet"/>
      <w:lvlText w:val="-"/>
      <w:lvlJc w:val="left"/>
      <w:pPr>
        <w:ind w:left="720" w:hanging="360"/>
      </w:pPr>
      <w:rPr>
        <w:rFonts w:ascii="Arial" w:eastAsia="Calibri" w:hAnsi="Arial" w:cs="Arial" w:hint="default"/>
      </w:rPr>
    </w:lvl>
    <w:lvl w:ilvl="1" w:tplc="A90CC968">
      <w:start w:val="1"/>
      <w:numFmt w:val="bullet"/>
      <w:pStyle w:val="dani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FA04F6"/>
    <w:multiLevelType w:val="hybridMultilevel"/>
    <w:tmpl w:val="EB3A9372"/>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78327740"/>
    <w:multiLevelType w:val="hybridMultilevel"/>
    <w:tmpl w:val="D29A1C9C"/>
    <w:lvl w:ilvl="0" w:tplc="400ED16A">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78EA0826"/>
    <w:multiLevelType w:val="hybridMultilevel"/>
    <w:tmpl w:val="8690B318"/>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7B5A7F90"/>
    <w:multiLevelType w:val="hybridMultilevel"/>
    <w:tmpl w:val="1C868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7C9B28ED"/>
    <w:multiLevelType w:val="hybridMultilevel"/>
    <w:tmpl w:val="74CC247C"/>
    <w:lvl w:ilvl="0" w:tplc="05C4A278">
      <w:start w:val="7"/>
      <w:numFmt w:val="bullet"/>
      <w:lvlText w:val="-"/>
      <w:lvlJc w:val="left"/>
      <w:pPr>
        <w:ind w:left="720" w:hanging="360"/>
      </w:pPr>
      <w:rPr>
        <w:rFonts w:ascii="Garamond" w:eastAsiaTheme="minorHAnsi" w:hAnsi="Garamond"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7DE21167"/>
    <w:multiLevelType w:val="hybridMultilevel"/>
    <w:tmpl w:val="A8763DD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7EFB280E"/>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1"/>
  </w:num>
  <w:num w:numId="2">
    <w:abstractNumId w:val="57"/>
  </w:num>
  <w:num w:numId="3">
    <w:abstractNumId w:val="63"/>
  </w:num>
  <w:num w:numId="4">
    <w:abstractNumId w:val="41"/>
  </w:num>
  <w:num w:numId="5">
    <w:abstractNumId w:val="34"/>
  </w:num>
  <w:num w:numId="6">
    <w:abstractNumId w:val="65"/>
  </w:num>
  <w:num w:numId="7">
    <w:abstractNumId w:val="29"/>
  </w:num>
  <w:num w:numId="8">
    <w:abstractNumId w:val="59"/>
  </w:num>
  <w:num w:numId="9">
    <w:abstractNumId w:val="60"/>
  </w:num>
  <w:num w:numId="10">
    <w:abstractNumId w:val="46"/>
  </w:num>
  <w:num w:numId="11">
    <w:abstractNumId w:val="31"/>
  </w:num>
  <w:num w:numId="12">
    <w:abstractNumId w:val="24"/>
  </w:num>
  <w:num w:numId="13">
    <w:abstractNumId w:val="20"/>
  </w:num>
  <w:num w:numId="14">
    <w:abstractNumId w:val="61"/>
  </w:num>
  <w:num w:numId="15">
    <w:abstractNumId w:val="67"/>
  </w:num>
  <w:num w:numId="16">
    <w:abstractNumId w:val="48"/>
  </w:num>
  <w:num w:numId="17">
    <w:abstractNumId w:val="17"/>
  </w:num>
  <w:num w:numId="18">
    <w:abstractNumId w:val="15"/>
  </w:num>
  <w:num w:numId="19">
    <w:abstractNumId w:val="18"/>
  </w:num>
  <w:num w:numId="20">
    <w:abstractNumId w:val="53"/>
  </w:num>
  <w:num w:numId="21">
    <w:abstractNumId w:val="38"/>
  </w:num>
  <w:num w:numId="22">
    <w:abstractNumId w:val="49"/>
  </w:num>
  <w:num w:numId="23">
    <w:abstractNumId w:val="70"/>
  </w:num>
  <w:num w:numId="24">
    <w:abstractNumId w:val="33"/>
  </w:num>
  <w:num w:numId="25">
    <w:abstractNumId w:val="25"/>
  </w:num>
  <w:num w:numId="26">
    <w:abstractNumId w:val="11"/>
  </w:num>
  <w:num w:numId="27">
    <w:abstractNumId w:val="6"/>
  </w:num>
  <w:num w:numId="28">
    <w:abstractNumId w:val="8"/>
  </w:num>
  <w:num w:numId="29">
    <w:abstractNumId w:val="5"/>
  </w:num>
  <w:num w:numId="30">
    <w:abstractNumId w:val="55"/>
  </w:num>
  <w:num w:numId="31">
    <w:abstractNumId w:val="30"/>
  </w:num>
  <w:num w:numId="32">
    <w:abstractNumId w:val="52"/>
  </w:num>
  <w:num w:numId="33">
    <w:abstractNumId w:val="21"/>
  </w:num>
  <w:num w:numId="34">
    <w:abstractNumId w:val="45"/>
  </w:num>
  <w:num w:numId="35">
    <w:abstractNumId w:val="47"/>
  </w:num>
  <w:num w:numId="36">
    <w:abstractNumId w:val="58"/>
  </w:num>
  <w:num w:numId="37">
    <w:abstractNumId w:val="42"/>
  </w:num>
  <w:num w:numId="38">
    <w:abstractNumId w:val="54"/>
  </w:num>
  <w:num w:numId="39">
    <w:abstractNumId w:val="40"/>
  </w:num>
  <w:num w:numId="40">
    <w:abstractNumId w:val="50"/>
  </w:num>
  <w:num w:numId="41">
    <w:abstractNumId w:val="28"/>
  </w:num>
  <w:num w:numId="42">
    <w:abstractNumId w:val="39"/>
  </w:num>
  <w:num w:numId="43">
    <w:abstractNumId w:val="0"/>
  </w:num>
  <w:num w:numId="44">
    <w:abstractNumId w:val="9"/>
  </w:num>
  <w:num w:numId="45">
    <w:abstractNumId w:val="68"/>
  </w:num>
  <w:num w:numId="46">
    <w:abstractNumId w:val="69"/>
  </w:num>
  <w:num w:numId="47">
    <w:abstractNumId w:val="10"/>
  </w:num>
  <w:num w:numId="48">
    <w:abstractNumId w:val="16"/>
  </w:num>
  <w:num w:numId="49">
    <w:abstractNumId w:val="3"/>
  </w:num>
  <w:num w:numId="50">
    <w:abstractNumId w:val="44"/>
  </w:num>
  <w:num w:numId="51">
    <w:abstractNumId w:val="1"/>
  </w:num>
  <w:num w:numId="52">
    <w:abstractNumId w:val="19"/>
  </w:num>
  <w:num w:numId="53">
    <w:abstractNumId w:val="4"/>
  </w:num>
  <w:num w:numId="54">
    <w:abstractNumId w:val="7"/>
  </w:num>
  <w:num w:numId="55">
    <w:abstractNumId w:val="37"/>
  </w:num>
  <w:num w:numId="56">
    <w:abstractNumId w:val="62"/>
  </w:num>
  <w:num w:numId="57">
    <w:abstractNumId w:val="56"/>
  </w:num>
  <w:num w:numId="58">
    <w:abstractNumId w:val="64"/>
  </w:num>
  <w:num w:numId="59">
    <w:abstractNumId w:val="26"/>
  </w:num>
  <w:num w:numId="60">
    <w:abstractNumId w:val="27"/>
  </w:num>
  <w:num w:numId="61">
    <w:abstractNumId w:val="22"/>
  </w:num>
  <w:num w:numId="62">
    <w:abstractNumId w:val="23"/>
  </w:num>
  <w:num w:numId="63">
    <w:abstractNumId w:val="32"/>
  </w:num>
  <w:num w:numId="64">
    <w:abstractNumId w:val="66"/>
  </w:num>
  <w:num w:numId="65">
    <w:abstractNumId w:val="12"/>
  </w:num>
  <w:num w:numId="66">
    <w:abstractNumId w:val="14"/>
  </w:num>
  <w:num w:numId="67">
    <w:abstractNumId w:val="43"/>
  </w:num>
  <w:num w:numId="68">
    <w:abstractNumId w:val="36"/>
  </w:num>
  <w:num w:numId="69">
    <w:abstractNumId w:val="13"/>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num>
  <w:num w:numId="73">
    <w:abstractNumId w:val="2"/>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proofState w:spelling="clean"/>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65"/>
    <w:rsid w:val="00001272"/>
    <w:rsid w:val="000029EF"/>
    <w:rsid w:val="00003DBF"/>
    <w:rsid w:val="00012290"/>
    <w:rsid w:val="000153E7"/>
    <w:rsid w:val="00020D14"/>
    <w:rsid w:val="0002262E"/>
    <w:rsid w:val="00022AC1"/>
    <w:rsid w:val="00023E6B"/>
    <w:rsid w:val="000248A4"/>
    <w:rsid w:val="000314DE"/>
    <w:rsid w:val="000326C8"/>
    <w:rsid w:val="00032E85"/>
    <w:rsid w:val="0003570A"/>
    <w:rsid w:val="0003594F"/>
    <w:rsid w:val="000437EF"/>
    <w:rsid w:val="00046967"/>
    <w:rsid w:val="00047372"/>
    <w:rsid w:val="0005219C"/>
    <w:rsid w:val="00052C36"/>
    <w:rsid w:val="00061085"/>
    <w:rsid w:val="000639BD"/>
    <w:rsid w:val="00067350"/>
    <w:rsid w:val="00073CDA"/>
    <w:rsid w:val="00077A29"/>
    <w:rsid w:val="000815DA"/>
    <w:rsid w:val="00082FAA"/>
    <w:rsid w:val="0008362F"/>
    <w:rsid w:val="0008402E"/>
    <w:rsid w:val="00084310"/>
    <w:rsid w:val="000855EB"/>
    <w:rsid w:val="00094118"/>
    <w:rsid w:val="000948E4"/>
    <w:rsid w:val="000A164D"/>
    <w:rsid w:val="000A3450"/>
    <w:rsid w:val="000A4480"/>
    <w:rsid w:val="000A60FE"/>
    <w:rsid w:val="000A67EE"/>
    <w:rsid w:val="000B1D68"/>
    <w:rsid w:val="000B2D46"/>
    <w:rsid w:val="000B57D0"/>
    <w:rsid w:val="000B5859"/>
    <w:rsid w:val="000B6C78"/>
    <w:rsid w:val="000B72DB"/>
    <w:rsid w:val="000C4002"/>
    <w:rsid w:val="000C4E59"/>
    <w:rsid w:val="000C77C6"/>
    <w:rsid w:val="000C7C0F"/>
    <w:rsid w:val="000E22D7"/>
    <w:rsid w:val="000E295E"/>
    <w:rsid w:val="000E36ED"/>
    <w:rsid w:val="000E4238"/>
    <w:rsid w:val="000E4361"/>
    <w:rsid w:val="000E43C6"/>
    <w:rsid w:val="000E6232"/>
    <w:rsid w:val="000E6DF5"/>
    <w:rsid w:val="000E7A70"/>
    <w:rsid w:val="000F05B3"/>
    <w:rsid w:val="000F0977"/>
    <w:rsid w:val="000F0DAC"/>
    <w:rsid w:val="000F1C54"/>
    <w:rsid w:val="000F2F47"/>
    <w:rsid w:val="000F496D"/>
    <w:rsid w:val="000F6431"/>
    <w:rsid w:val="000F7015"/>
    <w:rsid w:val="001001C9"/>
    <w:rsid w:val="00100A59"/>
    <w:rsid w:val="00101FD5"/>
    <w:rsid w:val="001024AA"/>
    <w:rsid w:val="0010454B"/>
    <w:rsid w:val="00104563"/>
    <w:rsid w:val="00105C0B"/>
    <w:rsid w:val="001106E8"/>
    <w:rsid w:val="00111BCB"/>
    <w:rsid w:val="00112743"/>
    <w:rsid w:val="00115983"/>
    <w:rsid w:val="00117164"/>
    <w:rsid w:val="00120C68"/>
    <w:rsid w:val="00122653"/>
    <w:rsid w:val="0012622B"/>
    <w:rsid w:val="001273F1"/>
    <w:rsid w:val="0013342D"/>
    <w:rsid w:val="00135141"/>
    <w:rsid w:val="00135EBE"/>
    <w:rsid w:val="00140410"/>
    <w:rsid w:val="00143B70"/>
    <w:rsid w:val="00145041"/>
    <w:rsid w:val="001457EB"/>
    <w:rsid w:val="001475DA"/>
    <w:rsid w:val="00150423"/>
    <w:rsid w:val="00151461"/>
    <w:rsid w:val="001530E9"/>
    <w:rsid w:val="00153FCB"/>
    <w:rsid w:val="00155EC7"/>
    <w:rsid w:val="00160849"/>
    <w:rsid w:val="00166772"/>
    <w:rsid w:val="00167178"/>
    <w:rsid w:val="001714B1"/>
    <w:rsid w:val="00171B49"/>
    <w:rsid w:val="00173C6B"/>
    <w:rsid w:val="00173F3E"/>
    <w:rsid w:val="00177281"/>
    <w:rsid w:val="0017760A"/>
    <w:rsid w:val="00180E66"/>
    <w:rsid w:val="00181652"/>
    <w:rsid w:val="001866A9"/>
    <w:rsid w:val="00187402"/>
    <w:rsid w:val="001901AA"/>
    <w:rsid w:val="00190A9C"/>
    <w:rsid w:val="00191FBA"/>
    <w:rsid w:val="0019475B"/>
    <w:rsid w:val="00195076"/>
    <w:rsid w:val="00195827"/>
    <w:rsid w:val="00195E5E"/>
    <w:rsid w:val="001A00FC"/>
    <w:rsid w:val="001A1ADB"/>
    <w:rsid w:val="001A37CE"/>
    <w:rsid w:val="001A720F"/>
    <w:rsid w:val="001B182F"/>
    <w:rsid w:val="001B1C17"/>
    <w:rsid w:val="001B2D38"/>
    <w:rsid w:val="001B4FB3"/>
    <w:rsid w:val="001C2378"/>
    <w:rsid w:val="001C3E82"/>
    <w:rsid w:val="001C6EB5"/>
    <w:rsid w:val="001C77EB"/>
    <w:rsid w:val="001D0742"/>
    <w:rsid w:val="001D076B"/>
    <w:rsid w:val="001D2BD7"/>
    <w:rsid w:val="001D5D44"/>
    <w:rsid w:val="001E25BE"/>
    <w:rsid w:val="001E34DA"/>
    <w:rsid w:val="001E4D0F"/>
    <w:rsid w:val="001E5EB8"/>
    <w:rsid w:val="001E74E5"/>
    <w:rsid w:val="001F2BB3"/>
    <w:rsid w:val="001F2E67"/>
    <w:rsid w:val="001F7FA3"/>
    <w:rsid w:val="00202425"/>
    <w:rsid w:val="002045A0"/>
    <w:rsid w:val="0020607E"/>
    <w:rsid w:val="00210F5F"/>
    <w:rsid w:val="0021335D"/>
    <w:rsid w:val="0021364A"/>
    <w:rsid w:val="00216499"/>
    <w:rsid w:val="00216DC4"/>
    <w:rsid w:val="00220862"/>
    <w:rsid w:val="00224713"/>
    <w:rsid w:val="002251E6"/>
    <w:rsid w:val="00226483"/>
    <w:rsid w:val="00227AC0"/>
    <w:rsid w:val="00227C25"/>
    <w:rsid w:val="002301D1"/>
    <w:rsid w:val="00233489"/>
    <w:rsid w:val="00236A01"/>
    <w:rsid w:val="00237754"/>
    <w:rsid w:val="0024127C"/>
    <w:rsid w:val="002438B3"/>
    <w:rsid w:val="00247B9B"/>
    <w:rsid w:val="00250998"/>
    <w:rsid w:val="00250F7E"/>
    <w:rsid w:val="002513AD"/>
    <w:rsid w:val="0025418E"/>
    <w:rsid w:val="00254807"/>
    <w:rsid w:val="0025547D"/>
    <w:rsid w:val="00256433"/>
    <w:rsid w:val="00256F04"/>
    <w:rsid w:val="002616F4"/>
    <w:rsid w:val="00261BA8"/>
    <w:rsid w:val="00262DAF"/>
    <w:rsid w:val="0026368C"/>
    <w:rsid w:val="00265D5D"/>
    <w:rsid w:val="0026645F"/>
    <w:rsid w:val="002716A3"/>
    <w:rsid w:val="00271C07"/>
    <w:rsid w:val="00273579"/>
    <w:rsid w:val="00275577"/>
    <w:rsid w:val="002840BF"/>
    <w:rsid w:val="00287842"/>
    <w:rsid w:val="00292CD3"/>
    <w:rsid w:val="00293559"/>
    <w:rsid w:val="002948A0"/>
    <w:rsid w:val="002950C4"/>
    <w:rsid w:val="00296373"/>
    <w:rsid w:val="00297B6B"/>
    <w:rsid w:val="002A1544"/>
    <w:rsid w:val="002A1655"/>
    <w:rsid w:val="002A2D22"/>
    <w:rsid w:val="002A395A"/>
    <w:rsid w:val="002A5416"/>
    <w:rsid w:val="002A64AB"/>
    <w:rsid w:val="002A70B9"/>
    <w:rsid w:val="002B0339"/>
    <w:rsid w:val="002B3135"/>
    <w:rsid w:val="002B566F"/>
    <w:rsid w:val="002B7EAD"/>
    <w:rsid w:val="002C76BF"/>
    <w:rsid w:val="002C778E"/>
    <w:rsid w:val="002C7AC8"/>
    <w:rsid w:val="002D003C"/>
    <w:rsid w:val="002D3F54"/>
    <w:rsid w:val="002D4BA7"/>
    <w:rsid w:val="002D4D03"/>
    <w:rsid w:val="002D5734"/>
    <w:rsid w:val="002E131C"/>
    <w:rsid w:val="002E25FE"/>
    <w:rsid w:val="002E3A78"/>
    <w:rsid w:val="002E732C"/>
    <w:rsid w:val="002F104B"/>
    <w:rsid w:val="002F421E"/>
    <w:rsid w:val="002F5072"/>
    <w:rsid w:val="002F71FB"/>
    <w:rsid w:val="00300F00"/>
    <w:rsid w:val="00301C17"/>
    <w:rsid w:val="0030305E"/>
    <w:rsid w:val="00303374"/>
    <w:rsid w:val="0030740D"/>
    <w:rsid w:val="00311736"/>
    <w:rsid w:val="00314856"/>
    <w:rsid w:val="00315253"/>
    <w:rsid w:val="0031683B"/>
    <w:rsid w:val="003207B5"/>
    <w:rsid w:val="00326724"/>
    <w:rsid w:val="003362B7"/>
    <w:rsid w:val="00336B40"/>
    <w:rsid w:val="003447F9"/>
    <w:rsid w:val="00345354"/>
    <w:rsid w:val="003514EF"/>
    <w:rsid w:val="00351DF8"/>
    <w:rsid w:val="00353D29"/>
    <w:rsid w:val="00354EE5"/>
    <w:rsid w:val="003555F4"/>
    <w:rsid w:val="00356B97"/>
    <w:rsid w:val="003578C4"/>
    <w:rsid w:val="00360368"/>
    <w:rsid w:val="00360700"/>
    <w:rsid w:val="003612DD"/>
    <w:rsid w:val="00364015"/>
    <w:rsid w:val="00364DCA"/>
    <w:rsid w:val="00366575"/>
    <w:rsid w:val="00366C4E"/>
    <w:rsid w:val="00371067"/>
    <w:rsid w:val="0037172C"/>
    <w:rsid w:val="0037438B"/>
    <w:rsid w:val="003775B6"/>
    <w:rsid w:val="00380591"/>
    <w:rsid w:val="00382C51"/>
    <w:rsid w:val="003842EF"/>
    <w:rsid w:val="00385E5E"/>
    <w:rsid w:val="00387036"/>
    <w:rsid w:val="003876CC"/>
    <w:rsid w:val="003909FD"/>
    <w:rsid w:val="00391237"/>
    <w:rsid w:val="00391C78"/>
    <w:rsid w:val="00391CBA"/>
    <w:rsid w:val="00392961"/>
    <w:rsid w:val="00392EE7"/>
    <w:rsid w:val="003945F7"/>
    <w:rsid w:val="00395C6C"/>
    <w:rsid w:val="00397056"/>
    <w:rsid w:val="003A1D8E"/>
    <w:rsid w:val="003A37EB"/>
    <w:rsid w:val="003A408D"/>
    <w:rsid w:val="003A553E"/>
    <w:rsid w:val="003A685B"/>
    <w:rsid w:val="003A6BAC"/>
    <w:rsid w:val="003A7137"/>
    <w:rsid w:val="003B02C7"/>
    <w:rsid w:val="003B19F4"/>
    <w:rsid w:val="003B5B87"/>
    <w:rsid w:val="003B7DB2"/>
    <w:rsid w:val="003C2161"/>
    <w:rsid w:val="003C3434"/>
    <w:rsid w:val="003C356C"/>
    <w:rsid w:val="003C35DD"/>
    <w:rsid w:val="003C39CC"/>
    <w:rsid w:val="003D0347"/>
    <w:rsid w:val="003D1A88"/>
    <w:rsid w:val="003D46DC"/>
    <w:rsid w:val="003E5012"/>
    <w:rsid w:val="003E67AE"/>
    <w:rsid w:val="003E7E9E"/>
    <w:rsid w:val="003F05B7"/>
    <w:rsid w:val="003F1558"/>
    <w:rsid w:val="003F25A0"/>
    <w:rsid w:val="003F3666"/>
    <w:rsid w:val="003F3BF9"/>
    <w:rsid w:val="003F40F8"/>
    <w:rsid w:val="003F50E6"/>
    <w:rsid w:val="003F5741"/>
    <w:rsid w:val="003F5A76"/>
    <w:rsid w:val="003F7919"/>
    <w:rsid w:val="00402A9D"/>
    <w:rsid w:val="00403D07"/>
    <w:rsid w:val="0040582E"/>
    <w:rsid w:val="00405A5E"/>
    <w:rsid w:val="00411426"/>
    <w:rsid w:val="00415D64"/>
    <w:rsid w:val="00417217"/>
    <w:rsid w:val="00417310"/>
    <w:rsid w:val="004205A1"/>
    <w:rsid w:val="004210A8"/>
    <w:rsid w:val="00422518"/>
    <w:rsid w:val="004243F5"/>
    <w:rsid w:val="00425580"/>
    <w:rsid w:val="004255B1"/>
    <w:rsid w:val="0042634F"/>
    <w:rsid w:val="0043194C"/>
    <w:rsid w:val="004349EF"/>
    <w:rsid w:val="00434B85"/>
    <w:rsid w:val="004437D6"/>
    <w:rsid w:val="00445193"/>
    <w:rsid w:val="004474D6"/>
    <w:rsid w:val="00447A2A"/>
    <w:rsid w:val="00450851"/>
    <w:rsid w:val="00450EF4"/>
    <w:rsid w:val="004542E8"/>
    <w:rsid w:val="004605C9"/>
    <w:rsid w:val="00462A54"/>
    <w:rsid w:val="0046489D"/>
    <w:rsid w:val="004655FB"/>
    <w:rsid w:val="00465FB1"/>
    <w:rsid w:val="00466266"/>
    <w:rsid w:val="00467530"/>
    <w:rsid w:val="00470AD1"/>
    <w:rsid w:val="00470E84"/>
    <w:rsid w:val="004714E9"/>
    <w:rsid w:val="004724E7"/>
    <w:rsid w:val="00474F45"/>
    <w:rsid w:val="0047647C"/>
    <w:rsid w:val="004776B0"/>
    <w:rsid w:val="00490A7E"/>
    <w:rsid w:val="00491257"/>
    <w:rsid w:val="0049283F"/>
    <w:rsid w:val="00492F04"/>
    <w:rsid w:val="00493A88"/>
    <w:rsid w:val="00494705"/>
    <w:rsid w:val="00495400"/>
    <w:rsid w:val="00495B10"/>
    <w:rsid w:val="004A1DFC"/>
    <w:rsid w:val="004A29AA"/>
    <w:rsid w:val="004A74CE"/>
    <w:rsid w:val="004A7A81"/>
    <w:rsid w:val="004B1966"/>
    <w:rsid w:val="004B2C5A"/>
    <w:rsid w:val="004B5671"/>
    <w:rsid w:val="004B732D"/>
    <w:rsid w:val="004C1850"/>
    <w:rsid w:val="004C3F80"/>
    <w:rsid w:val="004C445D"/>
    <w:rsid w:val="004C7067"/>
    <w:rsid w:val="004D2282"/>
    <w:rsid w:val="004D31AD"/>
    <w:rsid w:val="004D46F4"/>
    <w:rsid w:val="004D59A6"/>
    <w:rsid w:val="004D7925"/>
    <w:rsid w:val="004E16BB"/>
    <w:rsid w:val="004E29C5"/>
    <w:rsid w:val="004E2C59"/>
    <w:rsid w:val="004F1B11"/>
    <w:rsid w:val="004F289C"/>
    <w:rsid w:val="004F3003"/>
    <w:rsid w:val="004F3211"/>
    <w:rsid w:val="004F4467"/>
    <w:rsid w:val="004F687B"/>
    <w:rsid w:val="004F75C0"/>
    <w:rsid w:val="00500119"/>
    <w:rsid w:val="00500C01"/>
    <w:rsid w:val="005012E4"/>
    <w:rsid w:val="005032A2"/>
    <w:rsid w:val="0051067B"/>
    <w:rsid w:val="00516272"/>
    <w:rsid w:val="00517055"/>
    <w:rsid w:val="00530CE9"/>
    <w:rsid w:val="00531E36"/>
    <w:rsid w:val="005323FB"/>
    <w:rsid w:val="00534AC1"/>
    <w:rsid w:val="00536C35"/>
    <w:rsid w:val="005378EA"/>
    <w:rsid w:val="00544EFE"/>
    <w:rsid w:val="005473F0"/>
    <w:rsid w:val="00551D55"/>
    <w:rsid w:val="005528E7"/>
    <w:rsid w:val="0055404C"/>
    <w:rsid w:val="00554C4C"/>
    <w:rsid w:val="00555189"/>
    <w:rsid w:val="0055716A"/>
    <w:rsid w:val="00557826"/>
    <w:rsid w:val="00560E94"/>
    <w:rsid w:val="00564F36"/>
    <w:rsid w:val="005652A3"/>
    <w:rsid w:val="00565F60"/>
    <w:rsid w:val="00566B6A"/>
    <w:rsid w:val="00567AD7"/>
    <w:rsid w:val="0057069A"/>
    <w:rsid w:val="00570E8F"/>
    <w:rsid w:val="00574E20"/>
    <w:rsid w:val="005757E3"/>
    <w:rsid w:val="00575C83"/>
    <w:rsid w:val="00575C9C"/>
    <w:rsid w:val="00577CEF"/>
    <w:rsid w:val="00577DB1"/>
    <w:rsid w:val="00582008"/>
    <w:rsid w:val="0058418B"/>
    <w:rsid w:val="005868D1"/>
    <w:rsid w:val="00592810"/>
    <w:rsid w:val="005979B3"/>
    <w:rsid w:val="005A08CC"/>
    <w:rsid w:val="005A2E8C"/>
    <w:rsid w:val="005A4EBD"/>
    <w:rsid w:val="005B2360"/>
    <w:rsid w:val="005B250C"/>
    <w:rsid w:val="005B2984"/>
    <w:rsid w:val="005B2DD4"/>
    <w:rsid w:val="005B5EF2"/>
    <w:rsid w:val="005B6D21"/>
    <w:rsid w:val="005C5FBC"/>
    <w:rsid w:val="005C759B"/>
    <w:rsid w:val="005D0FF9"/>
    <w:rsid w:val="005D173B"/>
    <w:rsid w:val="005D21C2"/>
    <w:rsid w:val="005D2956"/>
    <w:rsid w:val="005D2A07"/>
    <w:rsid w:val="005D4F44"/>
    <w:rsid w:val="005D765A"/>
    <w:rsid w:val="005E50B7"/>
    <w:rsid w:val="005E53BB"/>
    <w:rsid w:val="005E6637"/>
    <w:rsid w:val="005E6FCD"/>
    <w:rsid w:val="005E7959"/>
    <w:rsid w:val="005E7D3B"/>
    <w:rsid w:val="005E7F01"/>
    <w:rsid w:val="005F0980"/>
    <w:rsid w:val="005F18EA"/>
    <w:rsid w:val="006000E4"/>
    <w:rsid w:val="006117AD"/>
    <w:rsid w:val="006164E4"/>
    <w:rsid w:val="00616787"/>
    <w:rsid w:val="00616CF4"/>
    <w:rsid w:val="00620F72"/>
    <w:rsid w:val="00623E1A"/>
    <w:rsid w:val="00626030"/>
    <w:rsid w:val="00630D03"/>
    <w:rsid w:val="00632AD8"/>
    <w:rsid w:val="00632AF9"/>
    <w:rsid w:val="00641C64"/>
    <w:rsid w:val="00647205"/>
    <w:rsid w:val="006472B8"/>
    <w:rsid w:val="00653889"/>
    <w:rsid w:val="006538D0"/>
    <w:rsid w:val="00661042"/>
    <w:rsid w:val="006625EE"/>
    <w:rsid w:val="00670C36"/>
    <w:rsid w:val="00670FF9"/>
    <w:rsid w:val="006722D6"/>
    <w:rsid w:val="006729CC"/>
    <w:rsid w:val="00672BC7"/>
    <w:rsid w:val="00673EC5"/>
    <w:rsid w:val="00680158"/>
    <w:rsid w:val="006804DC"/>
    <w:rsid w:val="00680A96"/>
    <w:rsid w:val="00680C98"/>
    <w:rsid w:val="00680D0E"/>
    <w:rsid w:val="006812BE"/>
    <w:rsid w:val="00681A5F"/>
    <w:rsid w:val="00682D81"/>
    <w:rsid w:val="00683EEF"/>
    <w:rsid w:val="00685D9D"/>
    <w:rsid w:val="00686171"/>
    <w:rsid w:val="0069042E"/>
    <w:rsid w:val="00690AB7"/>
    <w:rsid w:val="00691575"/>
    <w:rsid w:val="00693815"/>
    <w:rsid w:val="00693911"/>
    <w:rsid w:val="00693B74"/>
    <w:rsid w:val="0069405E"/>
    <w:rsid w:val="00694426"/>
    <w:rsid w:val="00696A75"/>
    <w:rsid w:val="006977E2"/>
    <w:rsid w:val="006A0193"/>
    <w:rsid w:val="006A210C"/>
    <w:rsid w:val="006A2E87"/>
    <w:rsid w:val="006B0356"/>
    <w:rsid w:val="006B1C73"/>
    <w:rsid w:val="006B29EB"/>
    <w:rsid w:val="006B54D6"/>
    <w:rsid w:val="006B6AF4"/>
    <w:rsid w:val="006B738C"/>
    <w:rsid w:val="006C06BE"/>
    <w:rsid w:val="006C2280"/>
    <w:rsid w:val="006C2F27"/>
    <w:rsid w:val="006D1522"/>
    <w:rsid w:val="006D2FB0"/>
    <w:rsid w:val="006D6FB8"/>
    <w:rsid w:val="006D7A82"/>
    <w:rsid w:val="006E1413"/>
    <w:rsid w:val="006E4355"/>
    <w:rsid w:val="006E5263"/>
    <w:rsid w:val="006E5BD8"/>
    <w:rsid w:val="006F2C87"/>
    <w:rsid w:val="006F4375"/>
    <w:rsid w:val="006F4566"/>
    <w:rsid w:val="006F471C"/>
    <w:rsid w:val="006F6EDF"/>
    <w:rsid w:val="006F7AEB"/>
    <w:rsid w:val="00700784"/>
    <w:rsid w:val="0070099C"/>
    <w:rsid w:val="00701AC5"/>
    <w:rsid w:val="00701D2F"/>
    <w:rsid w:val="00703ED4"/>
    <w:rsid w:val="00704E1A"/>
    <w:rsid w:val="0070749C"/>
    <w:rsid w:val="00710BCA"/>
    <w:rsid w:val="00711B2A"/>
    <w:rsid w:val="007129E5"/>
    <w:rsid w:val="007167A7"/>
    <w:rsid w:val="007168DE"/>
    <w:rsid w:val="0071752F"/>
    <w:rsid w:val="007179A4"/>
    <w:rsid w:val="007203AB"/>
    <w:rsid w:val="00720D3E"/>
    <w:rsid w:val="00721FF9"/>
    <w:rsid w:val="00722720"/>
    <w:rsid w:val="007251EF"/>
    <w:rsid w:val="007263EA"/>
    <w:rsid w:val="007314D6"/>
    <w:rsid w:val="0073194C"/>
    <w:rsid w:val="00734F10"/>
    <w:rsid w:val="007359AD"/>
    <w:rsid w:val="00740280"/>
    <w:rsid w:val="0074317B"/>
    <w:rsid w:val="0074536A"/>
    <w:rsid w:val="00750328"/>
    <w:rsid w:val="007506C6"/>
    <w:rsid w:val="00750F7E"/>
    <w:rsid w:val="0075145A"/>
    <w:rsid w:val="00755B70"/>
    <w:rsid w:val="00756FCF"/>
    <w:rsid w:val="00764AD0"/>
    <w:rsid w:val="007658A8"/>
    <w:rsid w:val="00771147"/>
    <w:rsid w:val="007716B7"/>
    <w:rsid w:val="00771B8E"/>
    <w:rsid w:val="007723E8"/>
    <w:rsid w:val="00773851"/>
    <w:rsid w:val="007814F2"/>
    <w:rsid w:val="0078230B"/>
    <w:rsid w:val="007840C7"/>
    <w:rsid w:val="00785910"/>
    <w:rsid w:val="00785CB3"/>
    <w:rsid w:val="0078786F"/>
    <w:rsid w:val="00793634"/>
    <w:rsid w:val="00795D0D"/>
    <w:rsid w:val="00796E52"/>
    <w:rsid w:val="007A04E8"/>
    <w:rsid w:val="007A75D4"/>
    <w:rsid w:val="007A7CC5"/>
    <w:rsid w:val="007B08EF"/>
    <w:rsid w:val="007B5E08"/>
    <w:rsid w:val="007C3839"/>
    <w:rsid w:val="007C3FE3"/>
    <w:rsid w:val="007C4311"/>
    <w:rsid w:val="007C4330"/>
    <w:rsid w:val="007C4D8A"/>
    <w:rsid w:val="007C7215"/>
    <w:rsid w:val="007D1399"/>
    <w:rsid w:val="007D1C42"/>
    <w:rsid w:val="007D3735"/>
    <w:rsid w:val="007D3DFB"/>
    <w:rsid w:val="007D414B"/>
    <w:rsid w:val="007D482B"/>
    <w:rsid w:val="007E36B4"/>
    <w:rsid w:val="007E4165"/>
    <w:rsid w:val="007E5351"/>
    <w:rsid w:val="007E5B6B"/>
    <w:rsid w:val="007E6AFD"/>
    <w:rsid w:val="007F046B"/>
    <w:rsid w:val="007F08A9"/>
    <w:rsid w:val="007F124D"/>
    <w:rsid w:val="007F5CC6"/>
    <w:rsid w:val="0080096C"/>
    <w:rsid w:val="008042B7"/>
    <w:rsid w:val="00810BEE"/>
    <w:rsid w:val="008129A5"/>
    <w:rsid w:val="008129F9"/>
    <w:rsid w:val="008141C1"/>
    <w:rsid w:val="00815233"/>
    <w:rsid w:val="00815815"/>
    <w:rsid w:val="00815EEE"/>
    <w:rsid w:val="00817A9C"/>
    <w:rsid w:val="008202B8"/>
    <w:rsid w:val="0082072A"/>
    <w:rsid w:val="00823C5E"/>
    <w:rsid w:val="008246D5"/>
    <w:rsid w:val="008263ED"/>
    <w:rsid w:val="008273D4"/>
    <w:rsid w:val="008360FF"/>
    <w:rsid w:val="00842FD0"/>
    <w:rsid w:val="008431A6"/>
    <w:rsid w:val="008439CD"/>
    <w:rsid w:val="00845350"/>
    <w:rsid w:val="00845871"/>
    <w:rsid w:val="00851264"/>
    <w:rsid w:val="008544B7"/>
    <w:rsid w:val="00856DF6"/>
    <w:rsid w:val="00856F7E"/>
    <w:rsid w:val="00856FD9"/>
    <w:rsid w:val="00862C21"/>
    <w:rsid w:val="008658FD"/>
    <w:rsid w:val="00872223"/>
    <w:rsid w:val="0087342C"/>
    <w:rsid w:val="0087416C"/>
    <w:rsid w:val="0087786A"/>
    <w:rsid w:val="008813FF"/>
    <w:rsid w:val="00882CCE"/>
    <w:rsid w:val="00883D2A"/>
    <w:rsid w:val="00884E89"/>
    <w:rsid w:val="00886354"/>
    <w:rsid w:val="00886C47"/>
    <w:rsid w:val="00887ACA"/>
    <w:rsid w:val="008903A2"/>
    <w:rsid w:val="00894378"/>
    <w:rsid w:val="00896ECB"/>
    <w:rsid w:val="0089723F"/>
    <w:rsid w:val="008A33E4"/>
    <w:rsid w:val="008A4166"/>
    <w:rsid w:val="008A45BA"/>
    <w:rsid w:val="008A4E09"/>
    <w:rsid w:val="008A6139"/>
    <w:rsid w:val="008B2C34"/>
    <w:rsid w:val="008B4451"/>
    <w:rsid w:val="008B4537"/>
    <w:rsid w:val="008B528E"/>
    <w:rsid w:val="008C0E2F"/>
    <w:rsid w:val="008C1330"/>
    <w:rsid w:val="008C1F3F"/>
    <w:rsid w:val="008C3293"/>
    <w:rsid w:val="008C35C4"/>
    <w:rsid w:val="008C7097"/>
    <w:rsid w:val="008C70B0"/>
    <w:rsid w:val="008D038F"/>
    <w:rsid w:val="008D0606"/>
    <w:rsid w:val="008D2298"/>
    <w:rsid w:val="008D31E5"/>
    <w:rsid w:val="008D5C28"/>
    <w:rsid w:val="008D6CA2"/>
    <w:rsid w:val="008D7966"/>
    <w:rsid w:val="008D7ACC"/>
    <w:rsid w:val="008E28C9"/>
    <w:rsid w:val="008E297C"/>
    <w:rsid w:val="008E2CBF"/>
    <w:rsid w:val="008F21BC"/>
    <w:rsid w:val="008F2771"/>
    <w:rsid w:val="008F5305"/>
    <w:rsid w:val="00901F53"/>
    <w:rsid w:val="00902095"/>
    <w:rsid w:val="009057A1"/>
    <w:rsid w:val="00905800"/>
    <w:rsid w:val="00910943"/>
    <w:rsid w:val="00913BC9"/>
    <w:rsid w:val="0092239E"/>
    <w:rsid w:val="00924D68"/>
    <w:rsid w:val="00927A2B"/>
    <w:rsid w:val="00931B1C"/>
    <w:rsid w:val="0093404D"/>
    <w:rsid w:val="0093606D"/>
    <w:rsid w:val="00941556"/>
    <w:rsid w:val="009424A1"/>
    <w:rsid w:val="00946994"/>
    <w:rsid w:val="00947E17"/>
    <w:rsid w:val="00952EA2"/>
    <w:rsid w:val="00953C0A"/>
    <w:rsid w:val="00954488"/>
    <w:rsid w:val="0095533B"/>
    <w:rsid w:val="00957678"/>
    <w:rsid w:val="00961129"/>
    <w:rsid w:val="00961DA8"/>
    <w:rsid w:val="009624A5"/>
    <w:rsid w:val="009648E8"/>
    <w:rsid w:val="00964B0B"/>
    <w:rsid w:val="00967327"/>
    <w:rsid w:val="00970689"/>
    <w:rsid w:val="00970A91"/>
    <w:rsid w:val="00971B8C"/>
    <w:rsid w:val="0097215C"/>
    <w:rsid w:val="00976EBB"/>
    <w:rsid w:val="00981D68"/>
    <w:rsid w:val="0098223A"/>
    <w:rsid w:val="00985163"/>
    <w:rsid w:val="0098603A"/>
    <w:rsid w:val="00993EA4"/>
    <w:rsid w:val="00995059"/>
    <w:rsid w:val="00996A9A"/>
    <w:rsid w:val="009A2E8B"/>
    <w:rsid w:val="009A49A4"/>
    <w:rsid w:val="009A5010"/>
    <w:rsid w:val="009A61A6"/>
    <w:rsid w:val="009B38E1"/>
    <w:rsid w:val="009B39A3"/>
    <w:rsid w:val="009B3B85"/>
    <w:rsid w:val="009B40C7"/>
    <w:rsid w:val="009B42D9"/>
    <w:rsid w:val="009B65F6"/>
    <w:rsid w:val="009B6C6C"/>
    <w:rsid w:val="009B750F"/>
    <w:rsid w:val="009C07B1"/>
    <w:rsid w:val="009C086F"/>
    <w:rsid w:val="009C19D1"/>
    <w:rsid w:val="009C26C5"/>
    <w:rsid w:val="009C3966"/>
    <w:rsid w:val="009C530F"/>
    <w:rsid w:val="009C5387"/>
    <w:rsid w:val="009C68F4"/>
    <w:rsid w:val="009C7360"/>
    <w:rsid w:val="009D0E14"/>
    <w:rsid w:val="009D0F23"/>
    <w:rsid w:val="009D0FA1"/>
    <w:rsid w:val="009D1AA1"/>
    <w:rsid w:val="009D4DE7"/>
    <w:rsid w:val="009D664A"/>
    <w:rsid w:val="009D72A4"/>
    <w:rsid w:val="009D7442"/>
    <w:rsid w:val="009D7FD5"/>
    <w:rsid w:val="009E082C"/>
    <w:rsid w:val="009E325C"/>
    <w:rsid w:val="009F716D"/>
    <w:rsid w:val="00A00F4B"/>
    <w:rsid w:val="00A016EF"/>
    <w:rsid w:val="00A02C5E"/>
    <w:rsid w:val="00A04F90"/>
    <w:rsid w:val="00A056F2"/>
    <w:rsid w:val="00A05E1A"/>
    <w:rsid w:val="00A06A26"/>
    <w:rsid w:val="00A10A99"/>
    <w:rsid w:val="00A11993"/>
    <w:rsid w:val="00A13E95"/>
    <w:rsid w:val="00A2002C"/>
    <w:rsid w:val="00A2089A"/>
    <w:rsid w:val="00A22BAA"/>
    <w:rsid w:val="00A24E22"/>
    <w:rsid w:val="00A309D4"/>
    <w:rsid w:val="00A32F5B"/>
    <w:rsid w:val="00A34556"/>
    <w:rsid w:val="00A35C9E"/>
    <w:rsid w:val="00A3631F"/>
    <w:rsid w:val="00A36543"/>
    <w:rsid w:val="00A40964"/>
    <w:rsid w:val="00A41881"/>
    <w:rsid w:val="00A4366F"/>
    <w:rsid w:val="00A46C8A"/>
    <w:rsid w:val="00A50022"/>
    <w:rsid w:val="00A52034"/>
    <w:rsid w:val="00A53641"/>
    <w:rsid w:val="00A542C0"/>
    <w:rsid w:val="00A5529A"/>
    <w:rsid w:val="00A56070"/>
    <w:rsid w:val="00A5623D"/>
    <w:rsid w:val="00A56EE0"/>
    <w:rsid w:val="00A60DE6"/>
    <w:rsid w:val="00A616B5"/>
    <w:rsid w:val="00A617EF"/>
    <w:rsid w:val="00A61845"/>
    <w:rsid w:val="00A633CB"/>
    <w:rsid w:val="00A63FB7"/>
    <w:rsid w:val="00A64B3F"/>
    <w:rsid w:val="00A717FE"/>
    <w:rsid w:val="00A71EC3"/>
    <w:rsid w:val="00A74423"/>
    <w:rsid w:val="00A74EC3"/>
    <w:rsid w:val="00A750FD"/>
    <w:rsid w:val="00A756DF"/>
    <w:rsid w:val="00A75AA5"/>
    <w:rsid w:val="00A767C3"/>
    <w:rsid w:val="00A76C71"/>
    <w:rsid w:val="00A76DD8"/>
    <w:rsid w:val="00A77781"/>
    <w:rsid w:val="00A77FBD"/>
    <w:rsid w:val="00A806B8"/>
    <w:rsid w:val="00A80AF7"/>
    <w:rsid w:val="00A82182"/>
    <w:rsid w:val="00A82CA2"/>
    <w:rsid w:val="00A833DA"/>
    <w:rsid w:val="00A9027C"/>
    <w:rsid w:val="00A90C91"/>
    <w:rsid w:val="00A924DF"/>
    <w:rsid w:val="00A95CFF"/>
    <w:rsid w:val="00AA0443"/>
    <w:rsid w:val="00AA4DAE"/>
    <w:rsid w:val="00AA5FD7"/>
    <w:rsid w:val="00AA786F"/>
    <w:rsid w:val="00AB2021"/>
    <w:rsid w:val="00AB266F"/>
    <w:rsid w:val="00AB3087"/>
    <w:rsid w:val="00AB5565"/>
    <w:rsid w:val="00AC2205"/>
    <w:rsid w:val="00AC5A48"/>
    <w:rsid w:val="00AC6567"/>
    <w:rsid w:val="00AD1617"/>
    <w:rsid w:val="00AD4FEA"/>
    <w:rsid w:val="00AD7F28"/>
    <w:rsid w:val="00AE0D1D"/>
    <w:rsid w:val="00AE6C5D"/>
    <w:rsid w:val="00AF0307"/>
    <w:rsid w:val="00AF351D"/>
    <w:rsid w:val="00AF46D6"/>
    <w:rsid w:val="00AF4BA0"/>
    <w:rsid w:val="00AF5235"/>
    <w:rsid w:val="00AF7A1A"/>
    <w:rsid w:val="00B010AC"/>
    <w:rsid w:val="00B01D85"/>
    <w:rsid w:val="00B06958"/>
    <w:rsid w:val="00B11165"/>
    <w:rsid w:val="00B1251C"/>
    <w:rsid w:val="00B157AA"/>
    <w:rsid w:val="00B1643D"/>
    <w:rsid w:val="00B177E2"/>
    <w:rsid w:val="00B23945"/>
    <w:rsid w:val="00B23C3A"/>
    <w:rsid w:val="00B250DD"/>
    <w:rsid w:val="00B250EF"/>
    <w:rsid w:val="00B260DE"/>
    <w:rsid w:val="00B26D7E"/>
    <w:rsid w:val="00B4167D"/>
    <w:rsid w:val="00B42172"/>
    <w:rsid w:val="00B4258B"/>
    <w:rsid w:val="00B46B00"/>
    <w:rsid w:val="00B506B9"/>
    <w:rsid w:val="00B54989"/>
    <w:rsid w:val="00B61F0D"/>
    <w:rsid w:val="00B62557"/>
    <w:rsid w:val="00B625B1"/>
    <w:rsid w:val="00B63485"/>
    <w:rsid w:val="00B63EE6"/>
    <w:rsid w:val="00B64BEF"/>
    <w:rsid w:val="00B657AB"/>
    <w:rsid w:val="00B664AF"/>
    <w:rsid w:val="00B70059"/>
    <w:rsid w:val="00B811F2"/>
    <w:rsid w:val="00B81F4C"/>
    <w:rsid w:val="00B82C98"/>
    <w:rsid w:val="00B83ECB"/>
    <w:rsid w:val="00B85011"/>
    <w:rsid w:val="00B92996"/>
    <w:rsid w:val="00B955A2"/>
    <w:rsid w:val="00B96435"/>
    <w:rsid w:val="00BA0A68"/>
    <w:rsid w:val="00BA19E4"/>
    <w:rsid w:val="00BA44ED"/>
    <w:rsid w:val="00BA5D7C"/>
    <w:rsid w:val="00BA746D"/>
    <w:rsid w:val="00BB0CC0"/>
    <w:rsid w:val="00BB10B8"/>
    <w:rsid w:val="00BB7E83"/>
    <w:rsid w:val="00BC3507"/>
    <w:rsid w:val="00BC68C7"/>
    <w:rsid w:val="00BC707D"/>
    <w:rsid w:val="00BD1375"/>
    <w:rsid w:val="00BD4921"/>
    <w:rsid w:val="00BD654C"/>
    <w:rsid w:val="00BD6F7A"/>
    <w:rsid w:val="00BD717E"/>
    <w:rsid w:val="00BD7361"/>
    <w:rsid w:val="00BD7DCB"/>
    <w:rsid w:val="00BE416D"/>
    <w:rsid w:val="00BE53CF"/>
    <w:rsid w:val="00BE68F7"/>
    <w:rsid w:val="00BE6AC9"/>
    <w:rsid w:val="00BF2C65"/>
    <w:rsid w:val="00BF5639"/>
    <w:rsid w:val="00BF6C1F"/>
    <w:rsid w:val="00BF700B"/>
    <w:rsid w:val="00BF74B9"/>
    <w:rsid w:val="00BF7591"/>
    <w:rsid w:val="00C00B64"/>
    <w:rsid w:val="00C011D5"/>
    <w:rsid w:val="00C02ADD"/>
    <w:rsid w:val="00C069AF"/>
    <w:rsid w:val="00C07039"/>
    <w:rsid w:val="00C136E8"/>
    <w:rsid w:val="00C145E4"/>
    <w:rsid w:val="00C151A4"/>
    <w:rsid w:val="00C16AA5"/>
    <w:rsid w:val="00C17DF6"/>
    <w:rsid w:val="00C20316"/>
    <w:rsid w:val="00C20C7B"/>
    <w:rsid w:val="00C26DE1"/>
    <w:rsid w:val="00C27DC4"/>
    <w:rsid w:val="00C30DB3"/>
    <w:rsid w:val="00C341FD"/>
    <w:rsid w:val="00C35C2C"/>
    <w:rsid w:val="00C367EB"/>
    <w:rsid w:val="00C377CD"/>
    <w:rsid w:val="00C378EC"/>
    <w:rsid w:val="00C3793F"/>
    <w:rsid w:val="00C40957"/>
    <w:rsid w:val="00C409C3"/>
    <w:rsid w:val="00C4370D"/>
    <w:rsid w:val="00C43A5B"/>
    <w:rsid w:val="00C443DA"/>
    <w:rsid w:val="00C44643"/>
    <w:rsid w:val="00C450C8"/>
    <w:rsid w:val="00C477A3"/>
    <w:rsid w:val="00C51DA8"/>
    <w:rsid w:val="00C547F9"/>
    <w:rsid w:val="00C62482"/>
    <w:rsid w:val="00C62CD4"/>
    <w:rsid w:val="00C63BEC"/>
    <w:rsid w:val="00C65822"/>
    <w:rsid w:val="00C66A93"/>
    <w:rsid w:val="00C671BD"/>
    <w:rsid w:val="00C679CF"/>
    <w:rsid w:val="00C74258"/>
    <w:rsid w:val="00C7581A"/>
    <w:rsid w:val="00C7599E"/>
    <w:rsid w:val="00C75C11"/>
    <w:rsid w:val="00C853EB"/>
    <w:rsid w:val="00C904E3"/>
    <w:rsid w:val="00C90B39"/>
    <w:rsid w:val="00C91CD1"/>
    <w:rsid w:val="00C93EAB"/>
    <w:rsid w:val="00C95B01"/>
    <w:rsid w:val="00CA0E9C"/>
    <w:rsid w:val="00CA24FD"/>
    <w:rsid w:val="00CA5768"/>
    <w:rsid w:val="00CA57BA"/>
    <w:rsid w:val="00CA775F"/>
    <w:rsid w:val="00CA784C"/>
    <w:rsid w:val="00CA7B81"/>
    <w:rsid w:val="00CB3A3B"/>
    <w:rsid w:val="00CB6D2D"/>
    <w:rsid w:val="00CB7117"/>
    <w:rsid w:val="00CC36F7"/>
    <w:rsid w:val="00CC4F09"/>
    <w:rsid w:val="00CC582F"/>
    <w:rsid w:val="00CC5BC7"/>
    <w:rsid w:val="00CC61E7"/>
    <w:rsid w:val="00CD0271"/>
    <w:rsid w:val="00CD0F28"/>
    <w:rsid w:val="00CD1875"/>
    <w:rsid w:val="00CD7934"/>
    <w:rsid w:val="00CE009F"/>
    <w:rsid w:val="00CE1216"/>
    <w:rsid w:val="00CE2349"/>
    <w:rsid w:val="00CE27EF"/>
    <w:rsid w:val="00CE2A22"/>
    <w:rsid w:val="00CE2AB2"/>
    <w:rsid w:val="00CE49E1"/>
    <w:rsid w:val="00CF287A"/>
    <w:rsid w:val="00CF3BA9"/>
    <w:rsid w:val="00CF72A1"/>
    <w:rsid w:val="00D029B1"/>
    <w:rsid w:val="00D03E87"/>
    <w:rsid w:val="00D04041"/>
    <w:rsid w:val="00D0531A"/>
    <w:rsid w:val="00D0605E"/>
    <w:rsid w:val="00D062A5"/>
    <w:rsid w:val="00D06FF6"/>
    <w:rsid w:val="00D134A4"/>
    <w:rsid w:val="00D13BB8"/>
    <w:rsid w:val="00D15A51"/>
    <w:rsid w:val="00D178EB"/>
    <w:rsid w:val="00D23A26"/>
    <w:rsid w:val="00D24328"/>
    <w:rsid w:val="00D2687E"/>
    <w:rsid w:val="00D30816"/>
    <w:rsid w:val="00D30CFB"/>
    <w:rsid w:val="00D329ED"/>
    <w:rsid w:val="00D33895"/>
    <w:rsid w:val="00D4031C"/>
    <w:rsid w:val="00D40C9B"/>
    <w:rsid w:val="00D419E2"/>
    <w:rsid w:val="00D41CD4"/>
    <w:rsid w:val="00D41E89"/>
    <w:rsid w:val="00D438DC"/>
    <w:rsid w:val="00D44223"/>
    <w:rsid w:val="00D467B9"/>
    <w:rsid w:val="00D47A09"/>
    <w:rsid w:val="00D50D6B"/>
    <w:rsid w:val="00D61748"/>
    <w:rsid w:val="00D626E1"/>
    <w:rsid w:val="00D761B6"/>
    <w:rsid w:val="00D767FA"/>
    <w:rsid w:val="00D810C2"/>
    <w:rsid w:val="00D82B43"/>
    <w:rsid w:val="00D86A48"/>
    <w:rsid w:val="00D86C82"/>
    <w:rsid w:val="00D87555"/>
    <w:rsid w:val="00D94F74"/>
    <w:rsid w:val="00D95D96"/>
    <w:rsid w:val="00DA09A9"/>
    <w:rsid w:val="00DA3B8A"/>
    <w:rsid w:val="00DA56FF"/>
    <w:rsid w:val="00DA609A"/>
    <w:rsid w:val="00DA76CD"/>
    <w:rsid w:val="00DB009E"/>
    <w:rsid w:val="00DB0B66"/>
    <w:rsid w:val="00DB0D9A"/>
    <w:rsid w:val="00DB2FBE"/>
    <w:rsid w:val="00DB3445"/>
    <w:rsid w:val="00DB3C1B"/>
    <w:rsid w:val="00DB6B57"/>
    <w:rsid w:val="00DC23C3"/>
    <w:rsid w:val="00DC2E20"/>
    <w:rsid w:val="00DC350A"/>
    <w:rsid w:val="00DC57FC"/>
    <w:rsid w:val="00DC7153"/>
    <w:rsid w:val="00DD3C1A"/>
    <w:rsid w:val="00DD41A7"/>
    <w:rsid w:val="00DE11AC"/>
    <w:rsid w:val="00DE3819"/>
    <w:rsid w:val="00DE3842"/>
    <w:rsid w:val="00DF5686"/>
    <w:rsid w:val="00DF6C7C"/>
    <w:rsid w:val="00E0048E"/>
    <w:rsid w:val="00E00893"/>
    <w:rsid w:val="00E010F7"/>
    <w:rsid w:val="00E03912"/>
    <w:rsid w:val="00E05D5F"/>
    <w:rsid w:val="00E105D0"/>
    <w:rsid w:val="00E217EE"/>
    <w:rsid w:val="00E21BE6"/>
    <w:rsid w:val="00E2376B"/>
    <w:rsid w:val="00E2508C"/>
    <w:rsid w:val="00E26FE1"/>
    <w:rsid w:val="00E33286"/>
    <w:rsid w:val="00E340BF"/>
    <w:rsid w:val="00E3500D"/>
    <w:rsid w:val="00E366D1"/>
    <w:rsid w:val="00E370C7"/>
    <w:rsid w:val="00E407AC"/>
    <w:rsid w:val="00E411E5"/>
    <w:rsid w:val="00E46D13"/>
    <w:rsid w:val="00E47707"/>
    <w:rsid w:val="00E518D1"/>
    <w:rsid w:val="00E51F2E"/>
    <w:rsid w:val="00E54C7B"/>
    <w:rsid w:val="00E603EE"/>
    <w:rsid w:val="00E625A7"/>
    <w:rsid w:val="00E63FFA"/>
    <w:rsid w:val="00E6542A"/>
    <w:rsid w:val="00E71A7F"/>
    <w:rsid w:val="00E7521F"/>
    <w:rsid w:val="00E75266"/>
    <w:rsid w:val="00E804BE"/>
    <w:rsid w:val="00E812FA"/>
    <w:rsid w:val="00E85932"/>
    <w:rsid w:val="00E85B36"/>
    <w:rsid w:val="00E87EF6"/>
    <w:rsid w:val="00E90D25"/>
    <w:rsid w:val="00E91DF9"/>
    <w:rsid w:val="00E929FD"/>
    <w:rsid w:val="00E954B2"/>
    <w:rsid w:val="00E971E9"/>
    <w:rsid w:val="00EA25DC"/>
    <w:rsid w:val="00EA2BD7"/>
    <w:rsid w:val="00EA4F66"/>
    <w:rsid w:val="00EA5AB2"/>
    <w:rsid w:val="00EA7779"/>
    <w:rsid w:val="00EB1BF3"/>
    <w:rsid w:val="00EB5AD2"/>
    <w:rsid w:val="00EB70CB"/>
    <w:rsid w:val="00EC20B4"/>
    <w:rsid w:val="00EC21CB"/>
    <w:rsid w:val="00EC33C0"/>
    <w:rsid w:val="00EC4B18"/>
    <w:rsid w:val="00EC7B37"/>
    <w:rsid w:val="00ED069D"/>
    <w:rsid w:val="00ED0C5C"/>
    <w:rsid w:val="00ED361E"/>
    <w:rsid w:val="00ED3C05"/>
    <w:rsid w:val="00ED50DF"/>
    <w:rsid w:val="00ED7D8E"/>
    <w:rsid w:val="00EE0ECE"/>
    <w:rsid w:val="00EE3110"/>
    <w:rsid w:val="00EE73C1"/>
    <w:rsid w:val="00EF0138"/>
    <w:rsid w:val="00EF4918"/>
    <w:rsid w:val="00EF5AA8"/>
    <w:rsid w:val="00EF5C26"/>
    <w:rsid w:val="00EF66E7"/>
    <w:rsid w:val="00EF6D55"/>
    <w:rsid w:val="00EF7B2D"/>
    <w:rsid w:val="00F00699"/>
    <w:rsid w:val="00F042F6"/>
    <w:rsid w:val="00F05953"/>
    <w:rsid w:val="00F10523"/>
    <w:rsid w:val="00F1271B"/>
    <w:rsid w:val="00F14719"/>
    <w:rsid w:val="00F204EC"/>
    <w:rsid w:val="00F207EF"/>
    <w:rsid w:val="00F221D1"/>
    <w:rsid w:val="00F22584"/>
    <w:rsid w:val="00F332DB"/>
    <w:rsid w:val="00F33522"/>
    <w:rsid w:val="00F34F63"/>
    <w:rsid w:val="00F41DD5"/>
    <w:rsid w:val="00F4281A"/>
    <w:rsid w:val="00F46FC0"/>
    <w:rsid w:val="00F47EB1"/>
    <w:rsid w:val="00F512C1"/>
    <w:rsid w:val="00F512E6"/>
    <w:rsid w:val="00F53956"/>
    <w:rsid w:val="00F548AC"/>
    <w:rsid w:val="00F54F68"/>
    <w:rsid w:val="00F5629D"/>
    <w:rsid w:val="00F56DF6"/>
    <w:rsid w:val="00F56EC2"/>
    <w:rsid w:val="00F608A2"/>
    <w:rsid w:val="00F61BC3"/>
    <w:rsid w:val="00F628EC"/>
    <w:rsid w:val="00F62B3F"/>
    <w:rsid w:val="00F645E1"/>
    <w:rsid w:val="00F663C5"/>
    <w:rsid w:val="00F728FD"/>
    <w:rsid w:val="00F73DCA"/>
    <w:rsid w:val="00F76840"/>
    <w:rsid w:val="00F80F3A"/>
    <w:rsid w:val="00F8257F"/>
    <w:rsid w:val="00F826DA"/>
    <w:rsid w:val="00F83FA2"/>
    <w:rsid w:val="00F84247"/>
    <w:rsid w:val="00F90391"/>
    <w:rsid w:val="00F907B2"/>
    <w:rsid w:val="00F9249E"/>
    <w:rsid w:val="00F976BF"/>
    <w:rsid w:val="00FA2BFC"/>
    <w:rsid w:val="00FA2D2B"/>
    <w:rsid w:val="00FA3B63"/>
    <w:rsid w:val="00FA457A"/>
    <w:rsid w:val="00FA734A"/>
    <w:rsid w:val="00FA7A50"/>
    <w:rsid w:val="00FB0AAB"/>
    <w:rsid w:val="00FB157E"/>
    <w:rsid w:val="00FB3F85"/>
    <w:rsid w:val="00FB45B2"/>
    <w:rsid w:val="00FB46DF"/>
    <w:rsid w:val="00FB6DEB"/>
    <w:rsid w:val="00FC42AD"/>
    <w:rsid w:val="00FD4643"/>
    <w:rsid w:val="00FD6B56"/>
    <w:rsid w:val="00FE217C"/>
    <w:rsid w:val="00FE2871"/>
    <w:rsid w:val="00FE36D2"/>
    <w:rsid w:val="00FE5BE4"/>
    <w:rsid w:val="00FE7A16"/>
    <w:rsid w:val="00FF033B"/>
    <w:rsid w:val="00FF03A8"/>
    <w:rsid w:val="00FF05D2"/>
    <w:rsid w:val="00FF21DF"/>
    <w:rsid w:val="00FF4E8F"/>
    <w:rsid w:val="00FF6D94"/>
    <w:rsid w:val="00FF741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B479AC"/>
  <w15:docId w15:val="{A36D7712-3D09-4009-9014-E5C9D16C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AC"/>
    <w:pPr>
      <w:spacing w:after="300" w:line="300" w:lineRule="exact"/>
      <w:jc w:val="both"/>
    </w:pPr>
    <w:rPr>
      <w:rFonts w:ascii="Garamond" w:hAnsi="Garamond"/>
      <w:sz w:val="24"/>
    </w:rPr>
  </w:style>
  <w:style w:type="paragraph" w:styleId="Ttulo1">
    <w:name w:val="heading 1"/>
    <w:next w:val="Normal"/>
    <w:link w:val="Ttulo1Car"/>
    <w:uiPriority w:val="1"/>
    <w:qFormat/>
    <w:rsid w:val="005A08CC"/>
    <w:pPr>
      <w:keepNext/>
      <w:keepLines/>
      <w:pBdr>
        <w:bottom w:val="single" w:sz="4" w:space="9" w:color="2A7886"/>
      </w:pBdr>
      <w:spacing w:before="600" w:after="300" w:line="300" w:lineRule="exact"/>
      <w:outlineLvl w:val="0"/>
    </w:pPr>
    <w:rPr>
      <w:rFonts w:ascii="Arial" w:eastAsiaTheme="majorEastAsia" w:hAnsi="Arial" w:cstheme="majorBidi"/>
      <w:b/>
      <w:bCs/>
      <w:color w:val="2A7886"/>
      <w:sz w:val="32"/>
      <w:szCs w:val="28"/>
    </w:rPr>
  </w:style>
  <w:style w:type="paragraph" w:styleId="Ttulo2">
    <w:name w:val="heading 2"/>
    <w:basedOn w:val="Ttulo1"/>
    <w:next w:val="Normal"/>
    <w:link w:val="Ttulo2Car"/>
    <w:uiPriority w:val="99"/>
    <w:unhideWhenUsed/>
    <w:qFormat/>
    <w:rsid w:val="008129A5"/>
    <w:pPr>
      <w:pBdr>
        <w:bottom w:val="none" w:sz="0" w:space="0" w:color="auto"/>
      </w:pBdr>
      <w:outlineLvl w:val="1"/>
    </w:pPr>
    <w:rPr>
      <w:bCs w:val="0"/>
      <w:color w:val="auto"/>
      <w:sz w:val="24"/>
      <w:szCs w:val="24"/>
    </w:rPr>
  </w:style>
  <w:style w:type="paragraph" w:styleId="Ttulo3">
    <w:name w:val="heading 3"/>
    <w:basedOn w:val="Ttulo2"/>
    <w:next w:val="Normal"/>
    <w:link w:val="Ttulo3Car"/>
    <w:uiPriority w:val="99"/>
    <w:unhideWhenUsed/>
    <w:qFormat/>
    <w:rsid w:val="005A08CC"/>
    <w:pPr>
      <w:outlineLvl w:val="2"/>
    </w:pPr>
    <w:rPr>
      <w:bCs/>
    </w:rPr>
  </w:style>
  <w:style w:type="paragraph" w:styleId="Ttulo4">
    <w:name w:val="heading 4"/>
    <w:basedOn w:val="Ttulo3"/>
    <w:next w:val="Normal"/>
    <w:link w:val="Ttulo4Car"/>
    <w:uiPriority w:val="9"/>
    <w:unhideWhenUsed/>
    <w:qFormat/>
    <w:rsid w:val="005A08CC"/>
    <w:pPr>
      <w:outlineLvl w:val="3"/>
    </w:pPr>
    <w:rPr>
      <w:bCs w:val="0"/>
      <w:iCs/>
      <w:sz w:val="22"/>
    </w:rPr>
  </w:style>
  <w:style w:type="paragraph" w:styleId="Ttulo5">
    <w:name w:val="heading 5"/>
    <w:basedOn w:val="Ttulo4"/>
    <w:next w:val="Normal"/>
    <w:link w:val="Ttulo5Car"/>
    <w:uiPriority w:val="9"/>
    <w:unhideWhenUsed/>
    <w:qFormat/>
    <w:rsid w:val="005A08CC"/>
    <w:pPr>
      <w:outlineLvl w:val="4"/>
    </w:pPr>
    <w:rPr>
      <w:b w:val="0"/>
    </w:rPr>
  </w:style>
  <w:style w:type="paragraph" w:styleId="Ttulo6">
    <w:name w:val="heading 6"/>
    <w:basedOn w:val="Ttulo4"/>
    <w:next w:val="Normal"/>
    <w:link w:val="Ttulo6Car"/>
    <w:uiPriority w:val="9"/>
    <w:unhideWhenUsed/>
    <w:qFormat/>
    <w:rsid w:val="003F40F8"/>
    <w:pPr>
      <w:numPr>
        <w:numId w:val="2"/>
      </w:numPr>
      <w:tabs>
        <w:tab w:val="left" w:pos="1077"/>
      </w:tabs>
      <w:spacing w:before="300"/>
      <w:outlineLvl w:val="5"/>
    </w:pPr>
    <w:rPr>
      <w:iCs w:val="0"/>
      <w:sz w:val="20"/>
    </w:rPr>
  </w:style>
  <w:style w:type="paragraph" w:styleId="Ttulo7">
    <w:name w:val="heading 7"/>
    <w:basedOn w:val="Normal"/>
    <w:next w:val="Normal"/>
    <w:link w:val="Ttulo7Car"/>
    <w:uiPriority w:val="9"/>
    <w:semiHidden/>
    <w:unhideWhenUsed/>
    <w:rsid w:val="003F40F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A08CC"/>
    <w:rPr>
      <w:rFonts w:ascii="Arial" w:eastAsiaTheme="majorEastAsia" w:hAnsi="Arial" w:cstheme="majorBidi"/>
      <w:b/>
      <w:bCs/>
      <w:color w:val="2A7886"/>
      <w:sz w:val="32"/>
      <w:szCs w:val="28"/>
    </w:rPr>
  </w:style>
  <w:style w:type="character" w:customStyle="1" w:styleId="Ttulo2Car">
    <w:name w:val="Título 2 Car"/>
    <w:basedOn w:val="Fuentedeprrafopredeter"/>
    <w:link w:val="Ttulo2"/>
    <w:uiPriority w:val="99"/>
    <w:rsid w:val="008129A5"/>
    <w:rPr>
      <w:rFonts w:ascii="Arial" w:eastAsiaTheme="majorEastAsia" w:hAnsi="Arial" w:cstheme="majorBidi"/>
      <w:b/>
      <w:sz w:val="24"/>
      <w:szCs w:val="24"/>
    </w:rPr>
  </w:style>
  <w:style w:type="character" w:customStyle="1" w:styleId="Ttulo3Car">
    <w:name w:val="Título 3 Car"/>
    <w:basedOn w:val="Fuentedeprrafopredeter"/>
    <w:link w:val="Ttulo3"/>
    <w:uiPriority w:val="99"/>
    <w:rsid w:val="005A08CC"/>
    <w:rPr>
      <w:rFonts w:ascii="Arial" w:eastAsiaTheme="majorEastAsia" w:hAnsi="Arial" w:cstheme="majorBidi"/>
      <w:b/>
      <w:bCs/>
      <w:sz w:val="24"/>
      <w:szCs w:val="26"/>
    </w:rPr>
  </w:style>
  <w:style w:type="character" w:customStyle="1" w:styleId="Ttulo4Car">
    <w:name w:val="Título 4 Car"/>
    <w:basedOn w:val="Fuentedeprrafopredeter"/>
    <w:link w:val="Ttulo4"/>
    <w:uiPriority w:val="9"/>
    <w:rsid w:val="005A08CC"/>
    <w:rPr>
      <w:rFonts w:ascii="Arial" w:eastAsiaTheme="majorEastAsia" w:hAnsi="Arial" w:cstheme="majorBidi"/>
      <w:b/>
      <w:iCs/>
      <w:szCs w:val="26"/>
    </w:rPr>
  </w:style>
  <w:style w:type="character" w:customStyle="1" w:styleId="Ttulo5Car">
    <w:name w:val="Título 5 Car"/>
    <w:basedOn w:val="Fuentedeprrafopredeter"/>
    <w:link w:val="Ttulo5"/>
    <w:uiPriority w:val="9"/>
    <w:rsid w:val="005A08CC"/>
    <w:rPr>
      <w:rFonts w:ascii="Arial" w:eastAsiaTheme="majorEastAsia" w:hAnsi="Arial" w:cstheme="majorBidi"/>
      <w:iCs/>
      <w:szCs w:val="26"/>
    </w:rPr>
  </w:style>
  <w:style w:type="paragraph" w:styleId="Encabezado">
    <w:name w:val="header"/>
    <w:basedOn w:val="Normal"/>
    <w:link w:val="EncabezadoCar"/>
    <w:uiPriority w:val="99"/>
    <w:unhideWhenUsed/>
    <w:rsid w:val="00DD41A7"/>
    <w:pPr>
      <w:tabs>
        <w:tab w:val="center" w:pos="4252"/>
        <w:tab w:val="right" w:pos="8504"/>
      </w:tabs>
      <w:spacing w:after="0"/>
      <w:jc w:val="right"/>
    </w:pPr>
    <w:rPr>
      <w:rFonts w:ascii="Arial" w:hAnsi="Arial"/>
      <w:color w:val="2A7886"/>
      <w:spacing w:val="26"/>
      <w:sz w:val="12"/>
    </w:rPr>
  </w:style>
  <w:style w:type="character" w:customStyle="1" w:styleId="EncabezadoCar">
    <w:name w:val="Encabezado Car"/>
    <w:basedOn w:val="Fuentedeprrafopredeter"/>
    <w:link w:val="Encabezado"/>
    <w:uiPriority w:val="99"/>
    <w:rsid w:val="00DD41A7"/>
    <w:rPr>
      <w:rFonts w:ascii="Arial" w:hAnsi="Arial"/>
      <w:color w:val="2A7886"/>
      <w:spacing w:val="26"/>
      <w:sz w:val="12"/>
    </w:rPr>
  </w:style>
  <w:style w:type="paragraph" w:styleId="Piedepgina">
    <w:name w:val="footer"/>
    <w:link w:val="PiedepginaCar"/>
    <w:uiPriority w:val="99"/>
    <w:unhideWhenUsed/>
    <w:rsid w:val="00CE009F"/>
    <w:pPr>
      <w:pBdr>
        <w:top w:val="single" w:sz="4" w:space="6" w:color="2A7886"/>
      </w:pBdr>
      <w:tabs>
        <w:tab w:val="right" w:pos="8789"/>
      </w:tabs>
      <w:spacing w:after="0" w:line="240" w:lineRule="auto"/>
      <w:jc w:val="both"/>
    </w:pPr>
    <w:rPr>
      <w:rFonts w:ascii="Arial" w:hAnsi="Arial"/>
      <w:color w:val="2A7886"/>
      <w:sz w:val="17"/>
    </w:rPr>
  </w:style>
  <w:style w:type="character" w:customStyle="1" w:styleId="PiedepginaCar">
    <w:name w:val="Pie de página Car"/>
    <w:basedOn w:val="Fuentedeprrafopredeter"/>
    <w:link w:val="Piedepgina"/>
    <w:uiPriority w:val="99"/>
    <w:rsid w:val="00CE009F"/>
    <w:rPr>
      <w:rFonts w:ascii="Arial" w:hAnsi="Arial"/>
      <w:color w:val="2A7886"/>
      <w:sz w:val="17"/>
    </w:rPr>
  </w:style>
  <w:style w:type="paragraph" w:styleId="Textodeglobo">
    <w:name w:val="Balloon Text"/>
    <w:basedOn w:val="Normal"/>
    <w:link w:val="TextodegloboCar"/>
    <w:uiPriority w:val="99"/>
    <w:semiHidden/>
    <w:unhideWhenUsed/>
    <w:rsid w:val="00632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AF9"/>
    <w:rPr>
      <w:rFonts w:ascii="Tahoma" w:hAnsi="Tahoma" w:cs="Tahoma"/>
      <w:sz w:val="16"/>
      <w:szCs w:val="16"/>
    </w:rPr>
  </w:style>
  <w:style w:type="paragraph" w:styleId="TDC3">
    <w:name w:val="toc 3"/>
    <w:basedOn w:val="TDC2"/>
    <w:uiPriority w:val="39"/>
    <w:rsid w:val="00F73DCA"/>
    <w:pPr>
      <w:ind w:left="567"/>
    </w:pPr>
    <w:rPr>
      <w:rFonts w:eastAsia="Times New Roman" w:cs="Times New Roman"/>
      <w:szCs w:val="32"/>
      <w:lang w:val="es-ES" w:eastAsia="es-ES"/>
    </w:rPr>
  </w:style>
  <w:style w:type="paragraph" w:styleId="TDC2">
    <w:name w:val="toc 2"/>
    <w:basedOn w:val="Normal"/>
    <w:next w:val="Normal"/>
    <w:uiPriority w:val="39"/>
    <w:unhideWhenUsed/>
    <w:rsid w:val="00F73DCA"/>
    <w:pPr>
      <w:tabs>
        <w:tab w:val="right" w:pos="8789"/>
      </w:tabs>
      <w:spacing w:after="0"/>
      <w:ind w:left="284"/>
      <w:jc w:val="left"/>
    </w:pPr>
  </w:style>
  <w:style w:type="character" w:styleId="Hipervnculo">
    <w:name w:val="Hyperlink"/>
    <w:basedOn w:val="Fuentedeprrafopredeter"/>
    <w:uiPriority w:val="99"/>
    <w:unhideWhenUsed/>
    <w:rsid w:val="00C07039"/>
    <w:rPr>
      <w:color w:val="0000FF" w:themeColor="hyperlink"/>
      <w:u w:val="single"/>
    </w:rPr>
  </w:style>
  <w:style w:type="paragraph" w:customStyle="1" w:styleId="Figura">
    <w:name w:val="Figura"/>
    <w:basedOn w:val="Normal"/>
    <w:qFormat/>
    <w:rsid w:val="00A35C9E"/>
    <w:pPr>
      <w:numPr>
        <w:numId w:val="1"/>
      </w:numPr>
      <w:jc w:val="left"/>
    </w:pPr>
    <w:rPr>
      <w:rFonts w:ascii="Arial" w:eastAsia="Times New Roman" w:hAnsi="Arial" w:cs="Times New Roman"/>
      <w:color w:val="000000"/>
      <w:sz w:val="20"/>
      <w:szCs w:val="20"/>
      <w:lang w:eastAsia="es-ES"/>
    </w:rPr>
  </w:style>
  <w:style w:type="paragraph" w:styleId="TDC1">
    <w:name w:val="toc 1"/>
    <w:basedOn w:val="Normal"/>
    <w:next w:val="Normal"/>
    <w:uiPriority w:val="39"/>
    <w:unhideWhenUsed/>
    <w:rsid w:val="00F73DCA"/>
    <w:pPr>
      <w:tabs>
        <w:tab w:val="right" w:leader="dot" w:pos="8789"/>
      </w:tabs>
      <w:spacing w:before="300"/>
      <w:jc w:val="left"/>
    </w:pPr>
  </w:style>
  <w:style w:type="paragraph" w:customStyle="1" w:styleId="Grfica">
    <w:name w:val="Gràfica"/>
    <w:basedOn w:val="Normal"/>
    <w:next w:val="Figura"/>
    <w:qFormat/>
    <w:rsid w:val="00A35C9E"/>
    <w:pPr>
      <w:keepNext/>
      <w:tabs>
        <w:tab w:val="left" w:pos="1134"/>
        <w:tab w:val="left" w:pos="5387"/>
      </w:tabs>
      <w:spacing w:after="100" w:line="240" w:lineRule="auto"/>
      <w:jc w:val="left"/>
    </w:pPr>
    <w:rPr>
      <w:rFonts w:eastAsia="Times New Roman" w:cs="Times New Roman"/>
      <w:color w:val="000000"/>
      <w:szCs w:val="20"/>
      <w:lang w:eastAsia="es-ES"/>
    </w:rPr>
  </w:style>
  <w:style w:type="paragraph" w:customStyle="1" w:styleId="Taula">
    <w:name w:val="Taula"/>
    <w:rsid w:val="00EE73C1"/>
    <w:pPr>
      <w:widowControl w:val="0"/>
      <w:spacing w:after="0" w:line="300" w:lineRule="exact"/>
    </w:pPr>
    <w:rPr>
      <w:rFonts w:ascii="Arial" w:eastAsia="Times New Roman" w:hAnsi="Arial" w:cs="Arial"/>
      <w:sz w:val="18"/>
      <w:szCs w:val="20"/>
      <w:lang w:eastAsia="es-ES"/>
    </w:rPr>
  </w:style>
  <w:style w:type="paragraph" w:styleId="Prrafodelista">
    <w:name w:val="List Paragraph"/>
    <w:aliases w:val="Lista sin Numerar,Párrafo Numerado,Párrafo de lista1"/>
    <w:basedOn w:val="Normal"/>
    <w:link w:val="PrrafodelistaCar"/>
    <w:uiPriority w:val="34"/>
    <w:qFormat/>
    <w:rsid w:val="0042634F"/>
    <w:pPr>
      <w:ind w:left="357" w:hanging="357"/>
      <w:contextualSpacing/>
    </w:pPr>
  </w:style>
  <w:style w:type="character" w:customStyle="1" w:styleId="Ttulo6Car">
    <w:name w:val="Título 6 Car"/>
    <w:basedOn w:val="Fuentedeprrafopredeter"/>
    <w:link w:val="Ttulo6"/>
    <w:uiPriority w:val="9"/>
    <w:rsid w:val="003F40F8"/>
    <w:rPr>
      <w:rFonts w:ascii="Arial" w:eastAsiaTheme="majorEastAsia" w:hAnsi="Arial" w:cstheme="majorBidi"/>
      <w:b/>
      <w:sz w:val="20"/>
      <w:szCs w:val="26"/>
    </w:rPr>
  </w:style>
  <w:style w:type="character" w:styleId="nfasissutil">
    <w:name w:val="Subtle Emphasis"/>
    <w:basedOn w:val="Fuentedeprrafopredeter"/>
    <w:uiPriority w:val="19"/>
    <w:rsid w:val="001457EB"/>
    <w:rPr>
      <w:i/>
      <w:iCs/>
      <w:color w:val="808080" w:themeColor="text1" w:themeTint="7F"/>
    </w:rPr>
  </w:style>
  <w:style w:type="character" w:styleId="nfasis">
    <w:name w:val="Emphasis"/>
    <w:basedOn w:val="Fuentedeprrafopredeter"/>
    <w:uiPriority w:val="20"/>
    <w:rsid w:val="001457EB"/>
    <w:rPr>
      <w:i/>
      <w:iCs/>
    </w:rPr>
  </w:style>
  <w:style w:type="character" w:styleId="nfasisintenso">
    <w:name w:val="Intense Emphasis"/>
    <w:basedOn w:val="Fuentedeprrafopredeter"/>
    <w:uiPriority w:val="21"/>
    <w:rsid w:val="001457EB"/>
    <w:rPr>
      <w:b/>
      <w:bCs/>
      <w:i/>
      <w:iCs/>
      <w:color w:val="4F81BD" w:themeColor="accent1"/>
    </w:rPr>
  </w:style>
  <w:style w:type="character" w:styleId="Textoennegrita">
    <w:name w:val="Strong"/>
    <w:basedOn w:val="Fuentedeprrafopredeter"/>
    <w:uiPriority w:val="22"/>
    <w:qFormat/>
    <w:rsid w:val="001457EB"/>
    <w:rPr>
      <w:b/>
      <w:bCs/>
    </w:rPr>
  </w:style>
  <w:style w:type="paragraph" w:styleId="Ttulo">
    <w:name w:val="Title"/>
    <w:basedOn w:val="Normal"/>
    <w:next w:val="Normal"/>
    <w:link w:val="TtuloCar"/>
    <w:uiPriority w:val="10"/>
    <w:qFormat/>
    <w:rsid w:val="00683EEF"/>
    <w:pPr>
      <w:spacing w:before="1500"/>
      <w:contextualSpacing/>
      <w:jc w:val="left"/>
    </w:pPr>
    <w:rPr>
      <w:rFonts w:ascii="Arial" w:eastAsiaTheme="majorEastAsia" w:hAnsi="Arial" w:cstheme="majorBidi"/>
      <w:b/>
      <w:color w:val="2A7886"/>
      <w:sz w:val="36"/>
      <w:szCs w:val="52"/>
    </w:rPr>
  </w:style>
  <w:style w:type="character" w:customStyle="1" w:styleId="TtuloCar">
    <w:name w:val="Título Car"/>
    <w:basedOn w:val="Fuentedeprrafopredeter"/>
    <w:link w:val="Ttulo"/>
    <w:uiPriority w:val="10"/>
    <w:rsid w:val="00683EEF"/>
    <w:rPr>
      <w:rFonts w:ascii="Arial" w:eastAsiaTheme="majorEastAsia" w:hAnsi="Arial" w:cstheme="majorBidi"/>
      <w:b/>
      <w:color w:val="2A7886"/>
      <w:sz w:val="36"/>
      <w:szCs w:val="52"/>
    </w:rPr>
  </w:style>
  <w:style w:type="paragraph" w:styleId="Subttulo">
    <w:name w:val="Subtitle"/>
    <w:basedOn w:val="Normal"/>
    <w:next w:val="Normal"/>
    <w:link w:val="SubttuloCar"/>
    <w:uiPriority w:val="99"/>
    <w:qFormat/>
    <w:rsid w:val="003F40F8"/>
    <w:pPr>
      <w:spacing w:after="1500"/>
    </w:pPr>
    <w:rPr>
      <w:rFonts w:ascii="Arial" w:hAnsi="Arial" w:cs="Arial"/>
    </w:rPr>
  </w:style>
  <w:style w:type="character" w:customStyle="1" w:styleId="SubttuloCar">
    <w:name w:val="Subtítulo Car"/>
    <w:basedOn w:val="Fuentedeprrafopredeter"/>
    <w:link w:val="Subttulo"/>
    <w:uiPriority w:val="99"/>
    <w:rsid w:val="003F40F8"/>
    <w:rPr>
      <w:rFonts w:ascii="Arial" w:hAnsi="Arial" w:cs="Arial"/>
      <w:sz w:val="24"/>
    </w:rPr>
  </w:style>
  <w:style w:type="character" w:customStyle="1" w:styleId="Ttulo7Car">
    <w:name w:val="Título 7 Car"/>
    <w:basedOn w:val="Fuentedeprrafopredeter"/>
    <w:link w:val="Ttulo7"/>
    <w:uiPriority w:val="9"/>
    <w:semiHidden/>
    <w:rsid w:val="003F40F8"/>
    <w:rPr>
      <w:rFonts w:asciiTheme="majorHAnsi" w:eastAsiaTheme="majorEastAsia" w:hAnsiTheme="majorHAnsi" w:cstheme="majorBidi"/>
      <w:i/>
      <w:iCs/>
      <w:color w:val="404040" w:themeColor="text1" w:themeTint="BF"/>
      <w:sz w:val="24"/>
    </w:rPr>
  </w:style>
  <w:style w:type="paragraph" w:styleId="Cita">
    <w:name w:val="Quote"/>
    <w:basedOn w:val="Normal"/>
    <w:next w:val="Normal"/>
    <w:link w:val="CitaCar"/>
    <w:uiPriority w:val="29"/>
    <w:rsid w:val="003F40F8"/>
    <w:rPr>
      <w:i/>
      <w:iCs/>
      <w:color w:val="000000" w:themeColor="text1"/>
    </w:rPr>
  </w:style>
  <w:style w:type="character" w:customStyle="1" w:styleId="CitaCar">
    <w:name w:val="Cita Car"/>
    <w:basedOn w:val="Fuentedeprrafopredeter"/>
    <w:link w:val="Cita"/>
    <w:uiPriority w:val="29"/>
    <w:rsid w:val="003F40F8"/>
    <w:rPr>
      <w:rFonts w:ascii="Garamond" w:hAnsi="Garamond"/>
      <w:i/>
      <w:iCs/>
      <w:color w:val="000000" w:themeColor="text1"/>
      <w:sz w:val="24"/>
    </w:rPr>
  </w:style>
  <w:style w:type="paragraph" w:styleId="Citadestacada">
    <w:name w:val="Intense Quote"/>
    <w:basedOn w:val="Normal"/>
    <w:next w:val="Normal"/>
    <w:link w:val="CitadestacadaCar"/>
    <w:uiPriority w:val="30"/>
    <w:rsid w:val="003F40F8"/>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F40F8"/>
    <w:rPr>
      <w:rFonts w:ascii="Garamond" w:hAnsi="Garamond"/>
      <w:b/>
      <w:bCs/>
      <w:i/>
      <w:iCs/>
      <w:color w:val="4F81BD" w:themeColor="accent1"/>
      <w:sz w:val="24"/>
    </w:rPr>
  </w:style>
  <w:style w:type="character" w:styleId="Referenciasutil">
    <w:name w:val="Subtle Reference"/>
    <w:basedOn w:val="Fuentedeprrafopredeter"/>
    <w:uiPriority w:val="31"/>
    <w:rsid w:val="003F40F8"/>
    <w:rPr>
      <w:smallCaps/>
      <w:color w:val="C0504D" w:themeColor="accent2"/>
      <w:u w:val="single"/>
    </w:rPr>
  </w:style>
  <w:style w:type="character" w:styleId="Ttulodellibro">
    <w:name w:val="Book Title"/>
    <w:basedOn w:val="Fuentedeprrafopredeter"/>
    <w:uiPriority w:val="33"/>
    <w:rsid w:val="003F40F8"/>
    <w:rPr>
      <w:b/>
      <w:bCs/>
      <w:smallCaps/>
      <w:spacing w:val="5"/>
    </w:rPr>
  </w:style>
  <w:style w:type="character" w:styleId="Referenciaintensa">
    <w:name w:val="Intense Reference"/>
    <w:basedOn w:val="Fuentedeprrafopredeter"/>
    <w:uiPriority w:val="32"/>
    <w:rsid w:val="003F40F8"/>
    <w:rPr>
      <w:b/>
      <w:bCs/>
      <w:smallCaps/>
      <w:color w:val="C0504D" w:themeColor="accent2"/>
      <w:spacing w:val="5"/>
      <w:u w:val="single"/>
    </w:rPr>
  </w:style>
  <w:style w:type="paragraph" w:styleId="Textonotapie">
    <w:name w:val="footnote text"/>
    <w:basedOn w:val="Normal"/>
    <w:link w:val="TextonotapieCar"/>
    <w:uiPriority w:val="99"/>
    <w:semiHidden/>
    <w:unhideWhenUsed/>
    <w:rsid w:val="001B1C17"/>
    <w:pPr>
      <w:spacing w:before="100" w:after="0" w:line="240" w:lineRule="auto"/>
    </w:pPr>
    <w:rPr>
      <w:sz w:val="20"/>
      <w:szCs w:val="20"/>
    </w:rPr>
  </w:style>
  <w:style w:type="character" w:customStyle="1" w:styleId="TextonotapieCar">
    <w:name w:val="Texto nota pie Car"/>
    <w:basedOn w:val="Fuentedeprrafopredeter"/>
    <w:link w:val="Textonotapie"/>
    <w:uiPriority w:val="99"/>
    <w:semiHidden/>
    <w:rsid w:val="001B1C17"/>
    <w:rPr>
      <w:rFonts w:ascii="Garamond" w:hAnsi="Garamond"/>
      <w:sz w:val="20"/>
      <w:szCs w:val="20"/>
    </w:rPr>
  </w:style>
  <w:style w:type="character" w:styleId="Refdenotaalpie">
    <w:name w:val="footnote reference"/>
    <w:basedOn w:val="Fuentedeprrafopredeter"/>
    <w:uiPriority w:val="99"/>
    <w:semiHidden/>
    <w:unhideWhenUsed/>
    <w:rsid w:val="001B1C17"/>
    <w:rPr>
      <w:vertAlign w:val="superscript"/>
    </w:rPr>
  </w:style>
  <w:style w:type="paragraph" w:customStyle="1" w:styleId="dani">
    <w:name w:val="dani"/>
    <w:basedOn w:val="Normal"/>
    <w:link w:val="daniCar"/>
    <w:autoRedefine/>
    <w:qFormat/>
    <w:rsid w:val="00B11165"/>
    <w:pPr>
      <w:spacing w:before="180" w:after="120"/>
    </w:pPr>
    <w:rPr>
      <w:rFonts w:ascii="Arial" w:eastAsia="Times New Roman" w:hAnsi="Arial" w:cs="Arial"/>
      <w:lang w:eastAsia="es-ES"/>
    </w:rPr>
  </w:style>
  <w:style w:type="character" w:customStyle="1" w:styleId="daniCar">
    <w:name w:val="dani Car"/>
    <w:link w:val="dani"/>
    <w:rsid w:val="00B11165"/>
    <w:rPr>
      <w:rFonts w:ascii="Arial" w:eastAsia="Times New Roman" w:hAnsi="Arial" w:cs="Arial"/>
      <w:sz w:val="24"/>
      <w:lang w:eastAsia="es-ES"/>
    </w:rPr>
  </w:style>
  <w:style w:type="paragraph" w:customStyle="1" w:styleId="danit2">
    <w:name w:val="danit2"/>
    <w:basedOn w:val="Normal"/>
    <w:link w:val="danit2Car"/>
    <w:autoRedefine/>
    <w:qFormat/>
    <w:rsid w:val="00B11165"/>
    <w:pPr>
      <w:numPr>
        <w:ilvl w:val="1"/>
        <w:numId w:val="3"/>
      </w:numPr>
      <w:spacing w:before="180"/>
    </w:pPr>
    <w:rPr>
      <w:rFonts w:ascii="Arial" w:eastAsia="Times New Roman" w:hAnsi="Arial" w:cs="Arial"/>
      <w:color w:val="FF0000"/>
      <w:lang w:eastAsia="es-ES"/>
    </w:rPr>
  </w:style>
  <w:style w:type="character" w:customStyle="1" w:styleId="danit2Car">
    <w:name w:val="danit2 Car"/>
    <w:link w:val="danit2"/>
    <w:rsid w:val="00B11165"/>
    <w:rPr>
      <w:rFonts w:ascii="Arial" w:eastAsia="Times New Roman" w:hAnsi="Arial" w:cs="Arial"/>
      <w:color w:val="FF0000"/>
      <w:sz w:val="24"/>
      <w:lang w:eastAsia="es-ES"/>
    </w:rPr>
  </w:style>
  <w:style w:type="paragraph" w:customStyle="1" w:styleId="Default">
    <w:name w:val="Default"/>
    <w:rsid w:val="00B11165"/>
    <w:pPr>
      <w:autoSpaceDE w:val="0"/>
      <w:autoSpaceDN w:val="0"/>
      <w:adjustRightInd w:val="0"/>
      <w:spacing w:after="0" w:line="240" w:lineRule="auto"/>
    </w:pPr>
    <w:rPr>
      <w:rFonts w:ascii="Arial" w:eastAsia="Calibri" w:hAnsi="Arial" w:cs="Arial"/>
      <w:color w:val="000000"/>
      <w:sz w:val="24"/>
      <w:szCs w:val="24"/>
      <w:lang w:val="en-GB"/>
    </w:rPr>
  </w:style>
  <w:style w:type="paragraph" w:customStyle="1" w:styleId="danit1">
    <w:name w:val="danit1"/>
    <w:basedOn w:val="Normal"/>
    <w:link w:val="danit1Car"/>
    <w:autoRedefine/>
    <w:qFormat/>
    <w:rsid w:val="00B11165"/>
    <w:pPr>
      <w:spacing w:before="180" w:after="120"/>
    </w:pPr>
    <w:rPr>
      <w:rFonts w:ascii="Arial" w:eastAsia="Times New Roman" w:hAnsi="Arial" w:cs="Arial"/>
      <w:b/>
      <w:szCs w:val="28"/>
      <w:lang w:eastAsia="es-ES"/>
    </w:rPr>
  </w:style>
  <w:style w:type="character" w:customStyle="1" w:styleId="danit1Car">
    <w:name w:val="danit1 Car"/>
    <w:link w:val="danit1"/>
    <w:rsid w:val="00B11165"/>
    <w:rPr>
      <w:rFonts w:ascii="Arial" w:eastAsia="Times New Roman" w:hAnsi="Arial" w:cs="Arial"/>
      <w:b/>
      <w:sz w:val="24"/>
      <w:szCs w:val="28"/>
      <w:lang w:eastAsia="es-ES"/>
    </w:rPr>
  </w:style>
  <w:style w:type="character" w:styleId="Hipervnculovisitado">
    <w:name w:val="FollowedHyperlink"/>
    <w:uiPriority w:val="99"/>
    <w:semiHidden/>
    <w:unhideWhenUsed/>
    <w:rsid w:val="00B11165"/>
    <w:rPr>
      <w:color w:val="800080"/>
      <w:u w:val="single"/>
    </w:rPr>
  </w:style>
  <w:style w:type="character" w:styleId="Refdecomentario">
    <w:name w:val="annotation reference"/>
    <w:basedOn w:val="Fuentedeprrafopredeter"/>
    <w:uiPriority w:val="99"/>
    <w:semiHidden/>
    <w:unhideWhenUsed/>
    <w:rsid w:val="00B11165"/>
    <w:rPr>
      <w:sz w:val="16"/>
      <w:szCs w:val="16"/>
    </w:rPr>
  </w:style>
  <w:style w:type="paragraph" w:styleId="Textocomentario">
    <w:name w:val="annotation text"/>
    <w:basedOn w:val="Normal"/>
    <w:link w:val="TextocomentarioCar"/>
    <w:uiPriority w:val="99"/>
    <w:unhideWhenUsed/>
    <w:rsid w:val="00B11165"/>
    <w:rPr>
      <w:rFonts w:cs="Times New Roman"/>
      <w:sz w:val="20"/>
      <w:szCs w:val="20"/>
    </w:rPr>
  </w:style>
  <w:style w:type="character" w:customStyle="1" w:styleId="TextocomentarioCar">
    <w:name w:val="Texto comentario Car"/>
    <w:basedOn w:val="Fuentedeprrafopredeter"/>
    <w:link w:val="Textocomentario"/>
    <w:uiPriority w:val="99"/>
    <w:rsid w:val="00B11165"/>
    <w:rPr>
      <w:rFonts w:ascii="Garamond" w:hAnsi="Garamond"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11165"/>
    <w:rPr>
      <w:b/>
      <w:bCs/>
    </w:rPr>
  </w:style>
  <w:style w:type="character" w:customStyle="1" w:styleId="AsuntodelcomentarioCar">
    <w:name w:val="Asunto del comentario Car"/>
    <w:basedOn w:val="TextocomentarioCar"/>
    <w:link w:val="Asuntodelcomentario"/>
    <w:uiPriority w:val="99"/>
    <w:semiHidden/>
    <w:rsid w:val="00B11165"/>
    <w:rPr>
      <w:rFonts w:ascii="Garamond" w:hAnsi="Garamond" w:cs="Times New Roman"/>
      <w:b/>
      <w:bCs/>
      <w:sz w:val="20"/>
      <w:szCs w:val="20"/>
    </w:rPr>
  </w:style>
  <w:style w:type="table" w:styleId="Tablaconcuadrcula">
    <w:name w:val="Table Grid"/>
    <w:basedOn w:val="Tablanormal"/>
    <w:rsid w:val="00B11165"/>
    <w:pPr>
      <w:spacing w:after="0" w:line="240" w:lineRule="auto"/>
    </w:pPr>
    <w:rPr>
      <w:rFonts w:ascii="Cambria" w:eastAsia="Cambria" w:hAnsi="Cambria" w:cs="Times New Roman"/>
      <w:sz w:val="20"/>
      <w:szCs w:val="20"/>
      <w:lang w:eastAsia="ca-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Lista sin Numerar Car,Párrafo Numerado Car,Párrafo de lista1 Car"/>
    <w:basedOn w:val="Fuentedeprrafopredeter"/>
    <w:link w:val="Prrafodelista"/>
    <w:uiPriority w:val="34"/>
    <w:locked/>
    <w:rsid w:val="00B11165"/>
    <w:rPr>
      <w:rFonts w:ascii="Garamond" w:hAnsi="Garamond"/>
      <w:sz w:val="24"/>
    </w:rPr>
  </w:style>
  <w:style w:type="paragraph" w:customStyle="1" w:styleId="Lista3">
    <w:name w:val="Lista3"/>
    <w:uiPriority w:val="99"/>
    <w:rsid w:val="00B11165"/>
    <w:pPr>
      <w:tabs>
        <w:tab w:val="left" w:pos="1985"/>
      </w:tabs>
      <w:spacing w:after="0" w:line="240" w:lineRule="auto"/>
      <w:ind w:left="2058" w:hanging="357"/>
    </w:pPr>
    <w:rPr>
      <w:rFonts w:ascii="Arial" w:eastAsia="Times New Roman" w:hAnsi="Arial" w:cs="Times New Roman"/>
      <w:sz w:val="24"/>
      <w:szCs w:val="24"/>
      <w:lang w:eastAsia="es-ES" w:bidi="he-IL"/>
    </w:rPr>
  </w:style>
  <w:style w:type="character" w:customStyle="1" w:styleId="Normal2Car">
    <w:name w:val="Normal2 Car"/>
    <w:link w:val="Normal2"/>
    <w:locked/>
    <w:rsid w:val="00B11165"/>
    <w:rPr>
      <w:rFonts w:ascii="Arial" w:hAnsi="Arial" w:cs="Arial"/>
      <w:sz w:val="24"/>
    </w:rPr>
  </w:style>
  <w:style w:type="paragraph" w:customStyle="1" w:styleId="Normal2">
    <w:name w:val="Normal2"/>
    <w:basedOn w:val="Normal"/>
    <w:link w:val="Normal2Car"/>
    <w:qFormat/>
    <w:rsid w:val="00B11165"/>
    <w:pPr>
      <w:spacing w:before="120"/>
      <w:ind w:left="426"/>
    </w:pPr>
    <w:rPr>
      <w:rFonts w:ascii="Arial" w:hAnsi="Arial" w:cs="Arial"/>
    </w:rPr>
  </w:style>
  <w:style w:type="character" w:customStyle="1" w:styleId="mw-headline">
    <w:name w:val="mw-headline"/>
    <w:basedOn w:val="Fuentedeprrafopredeter"/>
    <w:rsid w:val="00B11165"/>
  </w:style>
  <w:style w:type="character" w:customStyle="1" w:styleId="mw-editsection">
    <w:name w:val="mw-editsection"/>
    <w:basedOn w:val="Fuentedeprrafopredeter"/>
    <w:rsid w:val="00B11165"/>
  </w:style>
  <w:style w:type="character" w:customStyle="1" w:styleId="mw-editsection-bracket">
    <w:name w:val="mw-editsection-bracket"/>
    <w:basedOn w:val="Fuentedeprrafopredeter"/>
    <w:rsid w:val="00B11165"/>
  </w:style>
  <w:style w:type="character" w:customStyle="1" w:styleId="mw-editsection-divider">
    <w:name w:val="mw-editsection-divider"/>
    <w:basedOn w:val="Fuentedeprrafopredeter"/>
    <w:rsid w:val="00B11165"/>
  </w:style>
  <w:style w:type="character" w:customStyle="1" w:styleId="apple-converted-space">
    <w:name w:val="apple-converted-space"/>
    <w:basedOn w:val="Fuentedeprrafopredeter"/>
    <w:rsid w:val="00B11165"/>
  </w:style>
  <w:style w:type="paragraph" w:styleId="NormalWeb">
    <w:name w:val="Normal (Web)"/>
    <w:basedOn w:val="Normal"/>
    <w:uiPriority w:val="99"/>
    <w:unhideWhenUsed/>
    <w:rsid w:val="00B11165"/>
    <w:pPr>
      <w:spacing w:before="100" w:beforeAutospacing="1" w:after="100" w:afterAutospacing="1"/>
    </w:pPr>
    <w:rPr>
      <w:rFonts w:ascii="Times New Roman" w:eastAsia="Times New Roman" w:hAnsi="Times New Roman" w:cs="Times New Roman"/>
      <w:szCs w:val="24"/>
      <w:lang w:val="en-GB" w:eastAsia="en-GB"/>
    </w:rPr>
  </w:style>
  <w:style w:type="paragraph" w:styleId="Revisin">
    <w:name w:val="Revision"/>
    <w:hidden/>
    <w:uiPriority w:val="99"/>
    <w:semiHidden/>
    <w:rsid w:val="00B11165"/>
    <w:pPr>
      <w:spacing w:after="0" w:line="240" w:lineRule="auto"/>
    </w:pPr>
    <w:rPr>
      <w:rFonts w:ascii="Garamond" w:eastAsia="Calibri" w:hAnsi="Garamond" w:cs="Times New Roman"/>
      <w:sz w:val="24"/>
    </w:rPr>
  </w:style>
  <w:style w:type="table" w:customStyle="1" w:styleId="Tablaconcuadrcula1">
    <w:name w:val="Tabla con cuadrícula1"/>
    <w:basedOn w:val="Tablanormal"/>
    <w:next w:val="Tablaconcuadrcula"/>
    <w:rsid w:val="00462A5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75577"/>
    <w:rPr>
      <w:color w:val="605E5C"/>
      <w:shd w:val="clear" w:color="auto" w:fill="E1DFDD"/>
    </w:rPr>
  </w:style>
  <w:style w:type="table" w:customStyle="1" w:styleId="Tablaconcuadrcula2">
    <w:name w:val="Tabla con cuadrícula2"/>
    <w:basedOn w:val="Tablanormal"/>
    <w:next w:val="Tablaconcuadrcula"/>
    <w:uiPriority w:val="59"/>
    <w:rsid w:val="00567AD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46891">
      <w:bodyDiv w:val="1"/>
      <w:marLeft w:val="0"/>
      <w:marRight w:val="0"/>
      <w:marTop w:val="0"/>
      <w:marBottom w:val="0"/>
      <w:divBdr>
        <w:top w:val="none" w:sz="0" w:space="0" w:color="auto"/>
        <w:left w:val="none" w:sz="0" w:space="0" w:color="auto"/>
        <w:bottom w:val="none" w:sz="0" w:space="0" w:color="auto"/>
        <w:right w:val="none" w:sz="0" w:space="0" w:color="auto"/>
      </w:divBdr>
      <w:divsChild>
        <w:div w:id="572589266">
          <w:marLeft w:val="0"/>
          <w:marRight w:val="0"/>
          <w:marTop w:val="0"/>
          <w:marBottom w:val="0"/>
          <w:divBdr>
            <w:top w:val="none" w:sz="0" w:space="0" w:color="auto"/>
            <w:left w:val="none" w:sz="0" w:space="0" w:color="auto"/>
            <w:bottom w:val="none" w:sz="0" w:space="0" w:color="auto"/>
            <w:right w:val="none" w:sz="0" w:space="0" w:color="auto"/>
          </w:divBdr>
          <w:divsChild>
            <w:div w:id="832573662">
              <w:marLeft w:val="0"/>
              <w:marRight w:val="0"/>
              <w:marTop w:val="0"/>
              <w:marBottom w:val="0"/>
              <w:divBdr>
                <w:top w:val="none" w:sz="0" w:space="0" w:color="auto"/>
                <w:left w:val="none" w:sz="0" w:space="0" w:color="auto"/>
                <w:bottom w:val="none" w:sz="0" w:space="0" w:color="auto"/>
                <w:right w:val="none" w:sz="0" w:space="0" w:color="auto"/>
              </w:divBdr>
              <w:divsChild>
                <w:div w:id="742987582">
                  <w:marLeft w:val="-240"/>
                  <w:marRight w:val="-240"/>
                  <w:marTop w:val="0"/>
                  <w:marBottom w:val="0"/>
                  <w:divBdr>
                    <w:top w:val="none" w:sz="0" w:space="0" w:color="auto"/>
                    <w:left w:val="none" w:sz="0" w:space="0" w:color="auto"/>
                    <w:bottom w:val="none" w:sz="0" w:space="0" w:color="auto"/>
                    <w:right w:val="none" w:sz="0" w:space="0" w:color="auto"/>
                  </w:divBdr>
                  <w:divsChild>
                    <w:div w:id="1441948396">
                      <w:marLeft w:val="0"/>
                      <w:marRight w:val="0"/>
                      <w:marTop w:val="0"/>
                      <w:marBottom w:val="0"/>
                      <w:divBdr>
                        <w:top w:val="none" w:sz="0" w:space="0" w:color="auto"/>
                        <w:left w:val="none" w:sz="0" w:space="0" w:color="auto"/>
                        <w:bottom w:val="none" w:sz="0" w:space="0" w:color="auto"/>
                        <w:right w:val="none" w:sz="0" w:space="0" w:color="auto"/>
                      </w:divBdr>
                      <w:divsChild>
                        <w:div w:id="448745259">
                          <w:marLeft w:val="0"/>
                          <w:marRight w:val="0"/>
                          <w:marTop w:val="0"/>
                          <w:marBottom w:val="0"/>
                          <w:divBdr>
                            <w:top w:val="none" w:sz="0" w:space="0" w:color="auto"/>
                            <w:left w:val="none" w:sz="0" w:space="0" w:color="auto"/>
                            <w:bottom w:val="none" w:sz="0" w:space="0" w:color="auto"/>
                            <w:right w:val="none" w:sz="0" w:space="0" w:color="auto"/>
                          </w:divBdr>
                          <w:divsChild>
                            <w:div w:id="1995524552">
                              <w:marLeft w:val="165"/>
                              <w:marRight w:val="165"/>
                              <w:marTop w:val="0"/>
                              <w:marBottom w:val="0"/>
                              <w:divBdr>
                                <w:top w:val="none" w:sz="0" w:space="0" w:color="auto"/>
                                <w:left w:val="none" w:sz="0" w:space="0" w:color="auto"/>
                                <w:bottom w:val="none" w:sz="0" w:space="0" w:color="auto"/>
                                <w:right w:val="none" w:sz="0" w:space="0" w:color="auto"/>
                              </w:divBdr>
                              <w:divsChild>
                                <w:div w:id="1167087585">
                                  <w:marLeft w:val="0"/>
                                  <w:marRight w:val="0"/>
                                  <w:marTop w:val="0"/>
                                  <w:marBottom w:val="0"/>
                                  <w:divBdr>
                                    <w:top w:val="none" w:sz="0" w:space="0" w:color="auto"/>
                                    <w:left w:val="none" w:sz="0" w:space="0" w:color="auto"/>
                                    <w:bottom w:val="none" w:sz="0" w:space="0" w:color="auto"/>
                                    <w:right w:val="none" w:sz="0" w:space="0" w:color="auto"/>
                                  </w:divBdr>
                                  <w:divsChild>
                                    <w:div w:id="20560818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044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48871">
      <w:bodyDiv w:val="1"/>
      <w:marLeft w:val="0"/>
      <w:marRight w:val="0"/>
      <w:marTop w:val="0"/>
      <w:marBottom w:val="0"/>
      <w:divBdr>
        <w:top w:val="none" w:sz="0" w:space="0" w:color="auto"/>
        <w:left w:val="none" w:sz="0" w:space="0" w:color="auto"/>
        <w:bottom w:val="none" w:sz="0" w:space="0" w:color="auto"/>
        <w:right w:val="none" w:sz="0" w:space="0" w:color="auto"/>
      </w:divBdr>
    </w:div>
    <w:div w:id="383871097">
      <w:bodyDiv w:val="1"/>
      <w:marLeft w:val="0"/>
      <w:marRight w:val="0"/>
      <w:marTop w:val="0"/>
      <w:marBottom w:val="0"/>
      <w:divBdr>
        <w:top w:val="none" w:sz="0" w:space="0" w:color="auto"/>
        <w:left w:val="none" w:sz="0" w:space="0" w:color="auto"/>
        <w:bottom w:val="none" w:sz="0" w:space="0" w:color="auto"/>
        <w:right w:val="none" w:sz="0" w:space="0" w:color="auto"/>
      </w:divBdr>
    </w:div>
    <w:div w:id="388188021">
      <w:bodyDiv w:val="1"/>
      <w:marLeft w:val="0"/>
      <w:marRight w:val="0"/>
      <w:marTop w:val="0"/>
      <w:marBottom w:val="0"/>
      <w:divBdr>
        <w:top w:val="none" w:sz="0" w:space="0" w:color="auto"/>
        <w:left w:val="none" w:sz="0" w:space="0" w:color="auto"/>
        <w:bottom w:val="none" w:sz="0" w:space="0" w:color="auto"/>
        <w:right w:val="none" w:sz="0" w:space="0" w:color="auto"/>
      </w:divBdr>
    </w:div>
    <w:div w:id="542056650">
      <w:bodyDiv w:val="1"/>
      <w:marLeft w:val="0"/>
      <w:marRight w:val="0"/>
      <w:marTop w:val="0"/>
      <w:marBottom w:val="0"/>
      <w:divBdr>
        <w:top w:val="none" w:sz="0" w:space="0" w:color="auto"/>
        <w:left w:val="none" w:sz="0" w:space="0" w:color="auto"/>
        <w:bottom w:val="none" w:sz="0" w:space="0" w:color="auto"/>
        <w:right w:val="none" w:sz="0" w:space="0" w:color="auto"/>
      </w:divBdr>
    </w:div>
    <w:div w:id="590436067">
      <w:bodyDiv w:val="1"/>
      <w:marLeft w:val="0"/>
      <w:marRight w:val="0"/>
      <w:marTop w:val="0"/>
      <w:marBottom w:val="0"/>
      <w:divBdr>
        <w:top w:val="none" w:sz="0" w:space="0" w:color="auto"/>
        <w:left w:val="none" w:sz="0" w:space="0" w:color="auto"/>
        <w:bottom w:val="none" w:sz="0" w:space="0" w:color="auto"/>
        <w:right w:val="none" w:sz="0" w:space="0" w:color="auto"/>
      </w:divBdr>
    </w:div>
    <w:div w:id="592125058">
      <w:bodyDiv w:val="1"/>
      <w:marLeft w:val="0"/>
      <w:marRight w:val="0"/>
      <w:marTop w:val="0"/>
      <w:marBottom w:val="0"/>
      <w:divBdr>
        <w:top w:val="none" w:sz="0" w:space="0" w:color="auto"/>
        <w:left w:val="none" w:sz="0" w:space="0" w:color="auto"/>
        <w:bottom w:val="none" w:sz="0" w:space="0" w:color="auto"/>
        <w:right w:val="none" w:sz="0" w:space="0" w:color="auto"/>
      </w:divBdr>
      <w:divsChild>
        <w:div w:id="13964999">
          <w:marLeft w:val="0"/>
          <w:marRight w:val="0"/>
          <w:marTop w:val="0"/>
          <w:marBottom w:val="0"/>
          <w:divBdr>
            <w:top w:val="none" w:sz="0" w:space="0" w:color="auto"/>
            <w:left w:val="none" w:sz="0" w:space="0" w:color="auto"/>
            <w:bottom w:val="none" w:sz="0" w:space="0" w:color="auto"/>
            <w:right w:val="none" w:sz="0" w:space="0" w:color="auto"/>
          </w:divBdr>
        </w:div>
        <w:div w:id="1093010759">
          <w:marLeft w:val="0"/>
          <w:marRight w:val="0"/>
          <w:marTop w:val="0"/>
          <w:marBottom w:val="0"/>
          <w:divBdr>
            <w:top w:val="none" w:sz="0" w:space="0" w:color="auto"/>
            <w:left w:val="none" w:sz="0" w:space="0" w:color="auto"/>
            <w:bottom w:val="none" w:sz="0" w:space="0" w:color="auto"/>
            <w:right w:val="none" w:sz="0" w:space="0" w:color="auto"/>
          </w:divBdr>
        </w:div>
        <w:div w:id="1561093078">
          <w:marLeft w:val="0"/>
          <w:marRight w:val="0"/>
          <w:marTop w:val="0"/>
          <w:marBottom w:val="0"/>
          <w:divBdr>
            <w:top w:val="none" w:sz="0" w:space="0" w:color="auto"/>
            <w:left w:val="none" w:sz="0" w:space="0" w:color="auto"/>
            <w:bottom w:val="none" w:sz="0" w:space="0" w:color="auto"/>
            <w:right w:val="none" w:sz="0" w:space="0" w:color="auto"/>
          </w:divBdr>
        </w:div>
      </w:divsChild>
    </w:div>
    <w:div w:id="691494678">
      <w:bodyDiv w:val="1"/>
      <w:marLeft w:val="0"/>
      <w:marRight w:val="0"/>
      <w:marTop w:val="0"/>
      <w:marBottom w:val="0"/>
      <w:divBdr>
        <w:top w:val="none" w:sz="0" w:space="0" w:color="auto"/>
        <w:left w:val="none" w:sz="0" w:space="0" w:color="auto"/>
        <w:bottom w:val="none" w:sz="0" w:space="0" w:color="auto"/>
        <w:right w:val="none" w:sz="0" w:space="0" w:color="auto"/>
      </w:divBdr>
    </w:div>
    <w:div w:id="776028897">
      <w:bodyDiv w:val="1"/>
      <w:marLeft w:val="0"/>
      <w:marRight w:val="0"/>
      <w:marTop w:val="0"/>
      <w:marBottom w:val="0"/>
      <w:divBdr>
        <w:top w:val="none" w:sz="0" w:space="0" w:color="auto"/>
        <w:left w:val="none" w:sz="0" w:space="0" w:color="auto"/>
        <w:bottom w:val="none" w:sz="0" w:space="0" w:color="auto"/>
        <w:right w:val="none" w:sz="0" w:space="0" w:color="auto"/>
      </w:divBdr>
    </w:div>
    <w:div w:id="815099989">
      <w:bodyDiv w:val="1"/>
      <w:marLeft w:val="0"/>
      <w:marRight w:val="0"/>
      <w:marTop w:val="0"/>
      <w:marBottom w:val="0"/>
      <w:divBdr>
        <w:top w:val="none" w:sz="0" w:space="0" w:color="auto"/>
        <w:left w:val="none" w:sz="0" w:space="0" w:color="auto"/>
        <w:bottom w:val="none" w:sz="0" w:space="0" w:color="auto"/>
        <w:right w:val="none" w:sz="0" w:space="0" w:color="auto"/>
      </w:divBdr>
    </w:div>
    <w:div w:id="823936909">
      <w:bodyDiv w:val="1"/>
      <w:marLeft w:val="0"/>
      <w:marRight w:val="0"/>
      <w:marTop w:val="0"/>
      <w:marBottom w:val="0"/>
      <w:divBdr>
        <w:top w:val="none" w:sz="0" w:space="0" w:color="auto"/>
        <w:left w:val="none" w:sz="0" w:space="0" w:color="auto"/>
        <w:bottom w:val="none" w:sz="0" w:space="0" w:color="auto"/>
        <w:right w:val="none" w:sz="0" w:space="0" w:color="auto"/>
      </w:divBdr>
    </w:div>
    <w:div w:id="846021542">
      <w:bodyDiv w:val="1"/>
      <w:marLeft w:val="0"/>
      <w:marRight w:val="0"/>
      <w:marTop w:val="0"/>
      <w:marBottom w:val="0"/>
      <w:divBdr>
        <w:top w:val="none" w:sz="0" w:space="0" w:color="auto"/>
        <w:left w:val="none" w:sz="0" w:space="0" w:color="auto"/>
        <w:bottom w:val="none" w:sz="0" w:space="0" w:color="auto"/>
        <w:right w:val="none" w:sz="0" w:space="0" w:color="auto"/>
      </w:divBdr>
    </w:div>
    <w:div w:id="927466983">
      <w:bodyDiv w:val="1"/>
      <w:marLeft w:val="0"/>
      <w:marRight w:val="0"/>
      <w:marTop w:val="0"/>
      <w:marBottom w:val="0"/>
      <w:divBdr>
        <w:top w:val="none" w:sz="0" w:space="0" w:color="auto"/>
        <w:left w:val="none" w:sz="0" w:space="0" w:color="auto"/>
        <w:bottom w:val="none" w:sz="0" w:space="0" w:color="auto"/>
        <w:right w:val="none" w:sz="0" w:space="0" w:color="auto"/>
      </w:divBdr>
    </w:div>
    <w:div w:id="1185288432">
      <w:bodyDiv w:val="1"/>
      <w:marLeft w:val="0"/>
      <w:marRight w:val="0"/>
      <w:marTop w:val="0"/>
      <w:marBottom w:val="0"/>
      <w:divBdr>
        <w:top w:val="none" w:sz="0" w:space="0" w:color="auto"/>
        <w:left w:val="none" w:sz="0" w:space="0" w:color="auto"/>
        <w:bottom w:val="none" w:sz="0" w:space="0" w:color="auto"/>
        <w:right w:val="none" w:sz="0" w:space="0" w:color="auto"/>
      </w:divBdr>
    </w:div>
    <w:div w:id="1257445292">
      <w:bodyDiv w:val="1"/>
      <w:marLeft w:val="0"/>
      <w:marRight w:val="0"/>
      <w:marTop w:val="0"/>
      <w:marBottom w:val="0"/>
      <w:divBdr>
        <w:top w:val="none" w:sz="0" w:space="0" w:color="auto"/>
        <w:left w:val="none" w:sz="0" w:space="0" w:color="auto"/>
        <w:bottom w:val="none" w:sz="0" w:space="0" w:color="auto"/>
        <w:right w:val="none" w:sz="0" w:space="0" w:color="auto"/>
      </w:divBdr>
    </w:div>
    <w:div w:id="1300307809">
      <w:bodyDiv w:val="1"/>
      <w:marLeft w:val="0"/>
      <w:marRight w:val="0"/>
      <w:marTop w:val="0"/>
      <w:marBottom w:val="0"/>
      <w:divBdr>
        <w:top w:val="none" w:sz="0" w:space="0" w:color="auto"/>
        <w:left w:val="none" w:sz="0" w:space="0" w:color="auto"/>
        <w:bottom w:val="none" w:sz="0" w:space="0" w:color="auto"/>
        <w:right w:val="none" w:sz="0" w:space="0" w:color="auto"/>
      </w:divBdr>
    </w:div>
    <w:div w:id="1414401247">
      <w:bodyDiv w:val="1"/>
      <w:marLeft w:val="0"/>
      <w:marRight w:val="0"/>
      <w:marTop w:val="0"/>
      <w:marBottom w:val="0"/>
      <w:divBdr>
        <w:top w:val="none" w:sz="0" w:space="0" w:color="auto"/>
        <w:left w:val="none" w:sz="0" w:space="0" w:color="auto"/>
        <w:bottom w:val="none" w:sz="0" w:space="0" w:color="auto"/>
        <w:right w:val="none" w:sz="0" w:space="0" w:color="auto"/>
      </w:divBdr>
    </w:div>
    <w:div w:id="1510678760">
      <w:bodyDiv w:val="1"/>
      <w:marLeft w:val="0"/>
      <w:marRight w:val="0"/>
      <w:marTop w:val="0"/>
      <w:marBottom w:val="0"/>
      <w:divBdr>
        <w:top w:val="none" w:sz="0" w:space="0" w:color="auto"/>
        <w:left w:val="none" w:sz="0" w:space="0" w:color="auto"/>
        <w:bottom w:val="none" w:sz="0" w:space="0" w:color="auto"/>
        <w:right w:val="none" w:sz="0" w:space="0" w:color="auto"/>
      </w:divBdr>
    </w:div>
    <w:div w:id="1563103664">
      <w:bodyDiv w:val="1"/>
      <w:marLeft w:val="0"/>
      <w:marRight w:val="0"/>
      <w:marTop w:val="0"/>
      <w:marBottom w:val="0"/>
      <w:divBdr>
        <w:top w:val="none" w:sz="0" w:space="0" w:color="auto"/>
        <w:left w:val="none" w:sz="0" w:space="0" w:color="auto"/>
        <w:bottom w:val="none" w:sz="0" w:space="0" w:color="auto"/>
        <w:right w:val="none" w:sz="0" w:space="0" w:color="auto"/>
      </w:divBdr>
    </w:div>
    <w:div w:id="1625501219">
      <w:bodyDiv w:val="1"/>
      <w:marLeft w:val="0"/>
      <w:marRight w:val="0"/>
      <w:marTop w:val="0"/>
      <w:marBottom w:val="0"/>
      <w:divBdr>
        <w:top w:val="none" w:sz="0" w:space="0" w:color="auto"/>
        <w:left w:val="none" w:sz="0" w:space="0" w:color="auto"/>
        <w:bottom w:val="none" w:sz="0" w:space="0" w:color="auto"/>
        <w:right w:val="none" w:sz="0" w:space="0" w:color="auto"/>
      </w:divBdr>
    </w:div>
    <w:div w:id="1638491943">
      <w:bodyDiv w:val="1"/>
      <w:marLeft w:val="0"/>
      <w:marRight w:val="0"/>
      <w:marTop w:val="0"/>
      <w:marBottom w:val="0"/>
      <w:divBdr>
        <w:top w:val="none" w:sz="0" w:space="0" w:color="auto"/>
        <w:left w:val="none" w:sz="0" w:space="0" w:color="auto"/>
        <w:bottom w:val="none" w:sz="0" w:space="0" w:color="auto"/>
        <w:right w:val="none" w:sz="0" w:space="0" w:color="auto"/>
      </w:divBdr>
    </w:div>
    <w:div w:id="1664502570">
      <w:bodyDiv w:val="1"/>
      <w:marLeft w:val="0"/>
      <w:marRight w:val="0"/>
      <w:marTop w:val="0"/>
      <w:marBottom w:val="0"/>
      <w:divBdr>
        <w:top w:val="none" w:sz="0" w:space="0" w:color="auto"/>
        <w:left w:val="none" w:sz="0" w:space="0" w:color="auto"/>
        <w:bottom w:val="none" w:sz="0" w:space="0" w:color="auto"/>
        <w:right w:val="none" w:sz="0" w:space="0" w:color="auto"/>
      </w:divBdr>
    </w:div>
    <w:div w:id="1753233293">
      <w:bodyDiv w:val="1"/>
      <w:marLeft w:val="0"/>
      <w:marRight w:val="0"/>
      <w:marTop w:val="0"/>
      <w:marBottom w:val="0"/>
      <w:divBdr>
        <w:top w:val="none" w:sz="0" w:space="0" w:color="auto"/>
        <w:left w:val="none" w:sz="0" w:space="0" w:color="auto"/>
        <w:bottom w:val="none" w:sz="0" w:space="0" w:color="auto"/>
        <w:right w:val="none" w:sz="0" w:space="0" w:color="auto"/>
      </w:divBdr>
    </w:div>
    <w:div w:id="1920674224">
      <w:bodyDiv w:val="1"/>
      <w:marLeft w:val="0"/>
      <w:marRight w:val="0"/>
      <w:marTop w:val="0"/>
      <w:marBottom w:val="0"/>
      <w:divBdr>
        <w:top w:val="none" w:sz="0" w:space="0" w:color="auto"/>
        <w:left w:val="none" w:sz="0" w:space="0" w:color="auto"/>
        <w:bottom w:val="none" w:sz="0" w:space="0" w:color="auto"/>
        <w:right w:val="none" w:sz="0" w:space="0" w:color="auto"/>
      </w:divBdr>
    </w:div>
    <w:div w:id="20976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cn-cert.cni.es/series-ccn-stic/800-guia-esquema-nacional-de-seguridad/537-ccn-stic-822-procedimientos-de-seguridad/file.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3B984-312D-C048-907A-86631EA1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4631</Words>
  <Characters>25471</Characters>
  <Application>Microsoft Office Word</Application>
  <DocSecurity>0</DocSecurity>
  <Lines>212</Lines>
  <Paragraphs>60</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Plantilla Report</vt:lpstr>
      <vt:lpstr>Plantilla Report</vt:lpstr>
      <vt:lpstr>Plantilla Report</vt:lpstr>
    </vt:vector>
  </TitlesOfParts>
  <Company>HP</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Report</dc:title>
  <dc:subject/>
  <dc:creator>lgonzalez</dc:creator>
  <cp:keywords/>
  <dc:description/>
  <cp:lastModifiedBy>Laura Estremera</cp:lastModifiedBy>
  <cp:revision>4</cp:revision>
  <cp:lastPrinted>2016-11-21T10:19:00Z</cp:lastPrinted>
  <dcterms:created xsi:type="dcterms:W3CDTF">2021-05-18T13:56:00Z</dcterms:created>
  <dcterms:modified xsi:type="dcterms:W3CDTF">2021-05-25T13:19:00Z</dcterms:modified>
</cp:coreProperties>
</file>